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11 patches across 2 HHOC endpoints. The deployment success rate was 100.0% (11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'HHOC'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