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HHOC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42 patches across 5 HHOC endpoints. The deployment success rate was 95.2% (40 succeeded / 2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HHOC's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HHOC Patch Management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DESKTOP-RGHKNDN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HHCA-Maritza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LAPTOP-NK9LD6E3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LAPTOP-MTFA4MM6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DESKTOP-PDULRRL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Tim Kosse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Brother Industries,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27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2d6d56d9-7e8c-4673-92f9-c3033d6f56ce_54ff7a310f1a33c92675d0201339700b27833ca2.cab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FileZilla_3.70.4_win64-setup.exe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iPrintScan-Setup-15_1_0_46.exe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AcroRdrDCx64Upd2600121431.msp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dotnet-hosting-8.0.26-win.exe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windows11.0-kb5082417-x64-ndp481-25H2_win11.msu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LAPTOP-MTFA4MM6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FileZilla_3.70.4_win64-setup.exe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 06:02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LAPTOP-MTFA4MM6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 06:02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'HHOC'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