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ISH-KSS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automated patch deployment installed 34 patches across 11 ISH-KSS endpoints. The deployment success rate was 100.0% (34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ISH-KSS's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ISH-KSS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KSS -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Wed, Thu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KSS-HQ-VBR-01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KABFDBACK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KABFDRIGHT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KABRESRIGHT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KABFDLEFT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KABRESLEFT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KABSUPPORT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70.6%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Logitech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Setup_147.0.1_x64.exe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options_installer_10.26.14.0.exe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228b3e8a-0c81-49ef-a079-7d4627944b0e_59a950f8b5a12ebe92767065bc0a7b6ddd843bd7_PCI_VEN_8086_DEV_4680.cab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e32ee2bf-2a5a-45a4-a6c6-7f9a17ca43f5_4bfd69040197a69f3d61205dc2642e57e202212f_PCI_VEN_8086_DEV_9BC5.cab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windows10.0-kb5078131-x64-2019.msu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 115.32.0esr_x64.exe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windows10.0-kb5077795-x64-2019.msu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Firefox_Setup_140.7.0esr_64.exe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windows10.0-kb5073723-x64-2019.msu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webexapp_45.6.4.8.msi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'ISH-KSS'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