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49 patches across 8 ISI endpoints. The deployment success rate was 87.8% (43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newwkisi5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WKISIFD01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windows10.0-kb5078752-x64-2019.msu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SQLServer2017-KB5077471-x64.exe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wiztree_4_31_setup.exe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cisco-secure-client-win-5.1.15.287-umbrella-predeploy-k9.msi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postgresql-15.17-2-windows-x64.exe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K-Lite_Codec_Pack_1955_Basic.exe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PowerShell-7.4.14-win-x64.msi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wiztree_4_30_setup.exe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wiztree_4_29_setup.exe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newwkisi5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08:50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'ISI'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