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25 patches across 4 MAX endpoints. The deployment success rate was 100.0% (25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'MAX'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