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17 patches across 2 RSPMD endpoints. The deployment success rate was 100.0% (17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'RSPMD'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