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12 patches across 1 SGC endpoints. The deployment success rate was 100.0% (12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'SGC'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