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16 patches across 2 SGC endpoints. The deployment success rate was 93.8% (15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e05b46b9-01a4-423e-9eb9-c10fc2ba4dec_d20f27d6dad19c1d34793ee87bf30e930f3eb6f6.cab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 04:08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'SGC'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