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368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368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368 patches across 46 VAF endpoints. The deployment success rate was 100.0% (368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VAF's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management(CST-Time Zone)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DESKTOP-I7CGJRV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VAF-DC-OPSPRB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VAF-DC-3CX-01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IcoFX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40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MicrosoftEdgeWebView2RuntimeInstallerX64_144.0.3719.82.exe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228b3e8a-0c81-49ef-a079-7d4627944b0e_59a950f8b5a12ebe92767065bc0a7b6ddd843bd7_PCI_VEN_8086_DEV_46A8.cab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PBIDesktopSetup_2.150.1704.0_x64.exe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'VAF'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