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399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397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399 patches across 48 VAF endpoints. The deployment success rate was 99.5% (397 succeeded / 2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VAF's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management(CST-Time Zone)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VAF-HQ-MCX-01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DESKTOP-I7CGJRV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VAF-DC-TSVDI-GI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VAF-DC-SFTP-02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VAF-DC-OPSPRB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VAF-DC-3CX-01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 Software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Tim Kosse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WiseCleaner.com,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54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4da11e7c-5323-4742-9890-5b346baa0ad7_de46eeb2ee263130db37e7614102ba59a47e0ca2_INTELAUDIO__FUNC_01_VEN_10EC_DEV_0236.cab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MicrosoftEdgeWebView2RuntimeInstallerX64_145.0.3800.58.exe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52e54d9e-d959-439e-b056-96200d85163a_9430477addbfc0dd49c054dd13655b8274c11abd_PCI_VEN_8086_DEV_9A49.cab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microsoftedgeenterprise_145.0.3800.65_x64.msi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7ed4d21b-2cf4-468a-932b-a5fc5377317f_68febbb323940739605cc6667a95cdc438949c73_PCI__VEN_8086_DEV_A7A1.cab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44d4abfb-fcc1-4ae2-9416-3e64c8d748f2_41b8d13b444c46cc3c4111cd61597592ecad9097.cab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fa684a9b-e713-413d-a517-989700b74ccd_762137e60a368bf33939959b923821491da0d4ce_PCI_VEN_8086_DEV_7D45.cab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06:58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 00:59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'VAF'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