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Christian Brothers Interiors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Christian Brothers Interiors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Active brute-force or password-spray attempt(s) detected against user accounts.  1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88.2% (15/17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182.53/278.0 (65.7%)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Exchange Online Plan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Basic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E3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Exchange Online Plan 2  —  2 assigned, 3 of 5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jorge.c@cbinteriors.net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troy.k@cbinteriors.net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429 sign-in events with 116 (27.0%) failing authentication. 0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tiffany.g@cbinteriors.net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jennifer.j@cbinteriors.net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erica.c@cbinteriors.net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andy.b@cbinteriors.net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tiffany.g@cbinteriors.net, jennifer.j@cbinteriors.net, erica.c@cbinteriors.net.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Christian Brothers Interiors (d8a53075-5e10-4bf9-84ac-7f4595d67295)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2026-12-20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