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Meraki Monthly Activity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VAF — March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Reporting period: March 2026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for internal Technijian and named-client use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1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Networks</w:t>
            </w:r>
          </w:p>
        </w:tc>
        <w:tc>
          <w:tcPr>
            <w:tcW w:type="dxa" w:w="1872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4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Devices</w:t>
            </w:r>
          </w:p>
        </w:tc>
        <w:tc>
          <w:tcPr>
            <w:tcW w:type="dxa" w:w="1872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IDS/IPS events</w:t>
            </w:r>
          </w:p>
        </w:tc>
        <w:tc>
          <w:tcPr>
            <w:tcW w:type="dxa" w:w="1872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Activity events</w:t>
            </w:r>
          </w:p>
        </w:tc>
        <w:tc>
          <w:tcPr>
            <w:tcW w:type="dxa" w:w="1872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Config changes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AF7EE"/>
            <w:tcBorders>
              <w:top w:val="single" w:sz="12" w:color="28A745"/>
              <w:left w:val="single" w:sz="12" w:color="28A745"/>
              <w:bottom w:val="single" w:sz="12" w:color="28A745"/>
              <w:right w:val="single" w:sz="12" w:color="28A745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All clear — no IDS/IPS or AMP events were recorded across the reporting period. Continue normal monitoring.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summarizes Cisco Meraki firewall, intrusion-prevention (IDS/IPS), advanced-malware-protection (AMP), and configuration posture for VAF during 2026-03. Activity counts are aggregated from daily Meraki Dashboard API pulls; configuration reflects the most recent snapshot.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Network &amp; Device Inventory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Device inventory: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Device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Network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Model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Serial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Firmware</w:t>
            </w:r>
          </w:p>
        </w:tc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LAN IP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Type</w:t>
            </w:r>
          </w:p>
        </w:tc>
      </w:tr>
      <w:tr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VAF-HQ-AP-01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VAF-HQ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MR36H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Q3AN-E2UB-5HKM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wireless-31-1-7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10.254.254.245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wireless</w:t>
            </w:r>
          </w:p>
        </w:tc>
      </w:tr>
      <w:tr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VAF-HQ-AP-02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VAF-HQ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MR36H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Q3AN-WA29-U9AT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wireless-31-1-7</w:t>
            </w:r>
          </w:p>
        </w:tc>
        <w:tc>
          <w:tcPr>
            <w:tcW w:type="dxa" w:w="129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10.254.254.246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wireless</w:t>
            </w:r>
          </w:p>
        </w:tc>
      </w:tr>
      <w:tr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VAF-HQ-AP-03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VAF-HQ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MR36H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Q3AN-5WLS-G8WZ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wireless-31-1-7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10.254.254.247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wireless</w:t>
            </w:r>
          </w:p>
        </w:tc>
      </w:tr>
      <w:tr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VAF-HQ-AP-04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VAF-HQ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MR44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Q3AL-395F-8Y4F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wireless-31-1-7</w:t>
            </w:r>
          </w:p>
        </w:tc>
        <w:tc>
          <w:tcPr>
            <w:tcW w:type="dxa" w:w="129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10.254.254.248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wireless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Networks under management: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Network</w:t>
            </w:r>
          </w:p>
        </w:tc>
        <w:tc>
          <w:tcPr>
            <w:tcW w:type="dxa" w:w="187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Product types</w:t>
            </w:r>
          </w:p>
        </w:tc>
        <w:tc>
          <w:tcPr>
            <w:tcW w:type="dxa" w:w="86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VLANs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L3 rules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L7 rules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Inbound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Port fwd</w:t>
            </w:r>
          </w:p>
        </w:tc>
      </w:tr>
      <w:tr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VAF-HQ</w:t>
            </w:r>
          </w:p>
        </w:tc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wireless</w:t>
            </w:r>
          </w:p>
        </w:tc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Firewall Configuration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Full configuration snapshot of WAN interfaces, firewall rules, VLANs, port-forwarding, wireless SSIDs, and site-to-site VPN per network. Values reflect the most recent configuration pull.</w:t>
      </w:r>
    </w:p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VAF-HQ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Wireless SSIDs (enabled):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57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43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SSID Name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Auth Mode</w:t>
            </w:r>
          </w:p>
        </w:tc>
      </w:tr>
      <w:tr>
        <w:tc>
          <w:tcPr>
            <w:tcW w:type="dxa" w:w="57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—</w:t>
            </w:r>
          </w:p>
        </w:tc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VAF-HQ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PSK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Security Posture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Current configuration of the intrusion-prevention engine, anti-malware protection, content filtering, site-to-site VPN, and syslog forwarding per network.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Network</w:t>
            </w:r>
          </w:p>
        </w:tc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IDS/IPS mode</w:t>
            </w:r>
          </w:p>
        </w:tc>
        <w:tc>
          <w:tcPr>
            <w:tcW w:type="dxa" w:w="10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AMP mode</w:t>
            </w:r>
          </w:p>
        </w:tc>
        <w:tc>
          <w:tcPr>
            <w:tcW w:type="dxa" w:w="122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URL cats blocked</w:t>
            </w:r>
          </w:p>
        </w:tc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URL patterns blocked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S2S VPN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Syslog dests</w:t>
            </w:r>
          </w:p>
        </w:tc>
      </w:tr>
      <w:tr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VAF-HQ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—</w:t>
            </w:r>
          </w:p>
        </w:tc>
        <w:tc>
          <w:tcPr>
            <w:tcW w:type="dxa" w:w="10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—</w:t>
            </w:r>
          </w:p>
        </w:tc>
        <w:tc>
          <w:tcPr>
            <w:tcW w:type="dxa" w:w="122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—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Configuration Changes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Total changes</w:t>
            </w:r>
          </w:p>
        </w:tc>
        <w:tc>
          <w:tcPr>
            <w:tcW w:type="dxa" w:w="312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Admins active</w:t>
            </w:r>
          </w:p>
        </w:tc>
        <w:tc>
          <w:tcPr>
            <w:tcW w:type="dxa" w:w="312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Networks affected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AF7EE"/>
            <w:tcBorders>
              <w:top w:val="single" w:sz="12" w:color="28A745"/>
              <w:left w:val="single" w:sz="12" w:color="28A745"/>
              <w:bottom w:val="single" w:sz="12" w:color="28A745"/>
              <w:right w:val="single" w:sz="12" w:color="28A745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No configuration changes were recorded via the Meraki Dashboard this month. The environment is stable and the documented baseline is intact.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IDS/IPS &amp; AMP Events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Total IDS/IPS and AMP events captured during the reporting period: 0 across 0 days with activity.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AF7EE"/>
            <w:tcBorders>
              <w:top w:val="single" w:sz="12" w:color="28A745"/>
              <w:left w:val="single" w:sz="12" w:color="28A745"/>
              <w:bottom w:val="single" w:sz="12" w:color="28A745"/>
              <w:right w:val="single" w:sz="12" w:color="28A745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No security events were recorded during this period. This indicates either a clean network or that the IDS/IPS engine is in detection-only mode with no triggered signatures. Review the Security Posture section to confirm the intended configuration.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Firewall &amp; Network Activity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Total firewall, VPN, DHCP, and connectivity events: 0 across 0 active networks.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appliance-layer activity events were recorded for this period. Wireless-only networks (no MX appliance) and dormant sites typically show zero events here — verify the network topology in the inventory above if this is unexpected.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Daily Trend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Day-by-day count of intrusion-prevention events versus appliance-layer activity events. Use this to spot anomalies — sudden spikes typically correlate with outbound malware activity, port scans, or VPN tunnel flapping.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Date</w:t>
            </w:r>
          </w:p>
        </w:tc>
        <w:tc>
          <w:tcPr>
            <w:tcW w:type="dxa" w:w="25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Security events</w:t>
            </w:r>
          </w:p>
        </w:tc>
        <w:tc>
          <w:tcPr>
            <w:tcW w:type="dxa" w:w="25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Activity events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2026-03-01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2026-03-02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2026-03-03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2026-03-04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2026-03-05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2026-03-06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2026-03-07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2026-03-08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2026-03-09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2026-03-10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2026-03-11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2026-03-12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2026-03-13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2026-03-14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2026-03-15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2026-03-16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2026-03-17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2026-03-18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2026-03-19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2026-03-20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2026-03-21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2026-03-22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2026-03-23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2026-03-24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2026-03-25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2026-03-26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2026-03-27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2026-03-28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2026-03-29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2026-03-30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2026-03-31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What Technijian Did For You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Throughout the reporting period the Technijian network operations team performed the following ongoing services for your Meraki environment: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24x7 monitoring: </w:t>
      </w:r>
      <w:r>
        <w:rPr>
          <w:rFonts w:ascii="Open Sans" w:hAnsi="Open Sans"/>
          <w:b w:val="0"/>
          <w:i w:val="0"/>
          <w:color w:val="59595B"/>
          <w:sz w:val="22"/>
        </w:rPr>
        <w:t>continuous health checks against every Meraki appliance, switch, and access point in your dashboard.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Threat intelligence: </w:t>
      </w:r>
      <w:r>
        <w:rPr>
          <w:rFonts w:ascii="Open Sans" w:hAnsi="Open Sans"/>
          <w:b w:val="0"/>
          <w:i w:val="0"/>
          <w:color w:val="59595B"/>
          <w:sz w:val="22"/>
        </w:rPr>
        <w:t>Cisco's Talos and AMP feeds are kept current; signature definitions update automatically as Cisco publishes them.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Configuration drift detection: </w:t>
      </w:r>
      <w:r>
        <w:rPr>
          <w:rFonts w:ascii="Open Sans" w:hAnsi="Open Sans"/>
          <w:b w:val="0"/>
          <w:i w:val="0"/>
          <w:color w:val="59595B"/>
          <w:sz w:val="22"/>
        </w:rPr>
        <w:t>daily snapshots of firewall rules, VLANs, content filtering, IDS/IPS settings, and VPN configuration; deviations from the documented baseline are reviewed.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Incident review: </w:t>
      </w:r>
      <w:r>
        <w:rPr>
          <w:rFonts w:ascii="Open Sans" w:hAnsi="Open Sans"/>
          <w:b w:val="0"/>
          <w:i w:val="0"/>
          <w:color w:val="59595B"/>
          <w:sz w:val="22"/>
        </w:rPr>
        <w:t>high-priority security alerts are triaged within the on-call SLA and ticketed in the Technijian Client Portal.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Monthly reporting: </w:t>
      </w:r>
      <w:r>
        <w:rPr>
          <w:rFonts w:ascii="Open Sans" w:hAnsi="Open Sans"/>
          <w:b w:val="0"/>
          <w:i w:val="0"/>
          <w:color w:val="59595B"/>
          <w:sz w:val="22"/>
        </w:rPr>
        <w:t>this document — every line item is sourced from the Meraki Dashboard API and verified through a structural proofreader before delivery.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Validate detection coverage: </w:t>
      </w:r>
      <w:r>
        <w:rPr>
          <w:rFonts w:ascii="Open Sans" w:hAnsi="Open Sans"/>
          <w:b w:val="0"/>
          <w:i w:val="0"/>
          <w:color w:val="59595B"/>
          <w:sz w:val="22"/>
        </w:rPr>
        <w:t>zero security events for the period is unusual unless the network is genuinely low-traffic. Consider running a controlled test (e.g., EICAR file download from an isolated workstation) to confirm the IDS/IPS pipeline end-to-end.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the Cisco Meraki Dashboard API by Technijian's annual-client-review pipeline. Every figure shown is sourced from the API at report-generation time; no manual data entry is involved.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Report generated 2026-04-30 09:58 for client code 'vaf'. Configuration snapshot taken 2026-04-30T16:48:34Z.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contact your Technijian account manager or open a ticket via the Client Portal.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