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1F4E79"/>
          <w:sz w:val="52"/>
        </w:rPr>
        <w:t>HHOC (Housing for Health OC)</w:t>
      </w:r>
    </w:p>
    <w:p>
      <w:pPr>
        <w:jc w:val="center"/>
      </w:pPr>
      <w:r>
        <w:rPr>
          <w:color w:val="2E75B6"/>
          <w:sz w:val="40"/>
        </w:rPr>
        <w:t>2025 IT Support Review</w:t>
      </w:r>
    </w:p>
    <w:p>
      <w:pPr>
        <w:jc w:val="center"/>
      </w:pPr>
      <w:r>
        <w:rPr>
          <w:color w:val="2E75B6"/>
          <w:sz w:val="40"/>
        </w:rPr>
        <w:t>&amp; 2026 Planning Readiness Assessment</w:t>
      </w:r>
    </w:p>
    <w:p/>
    <w:p>
      <w:pPr>
        <w:jc w:val="center"/>
      </w:pPr>
      <w:r>
        <w:rPr>
          <w:color w:val="666666"/>
          <w:sz w:val="24"/>
        </w:rPr>
        <w:t>Prepared by Technijian Inc.  —  March 2026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213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1F4E79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2025 At a Glance</w:t>
            </w:r>
          </w:p>
        </w:tc>
        <w:tc>
          <w:tcPr>
            <w:tcW w:type="dxa" w:w="5213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1F4E79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Key Figures</w:t>
            </w:r>
          </w:p>
        </w:tc>
      </w:tr>
      <w:tr>
        <w:tc>
          <w:tcPr>
            <w:tcW w:type="dxa" w:w="5213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1F4E79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Total 2025 Revenue</w:t>
            </w:r>
          </w:p>
        </w:tc>
        <w:tc>
          <w:tcPr>
            <w:tcW w:type="dxa" w:w="5213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1F4E79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$12,192</w:t>
            </w:r>
          </w:p>
        </w:tc>
      </w:tr>
      <w:tr>
        <w:tc>
          <w:tcPr>
            <w:tcW w:type="dxa" w:w="5213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Monthly Contract (Labor + Services)</w:t>
            </w:r>
          </w:p>
        </w:tc>
        <w:tc>
          <w:tcPr>
            <w:tcW w:type="dxa" w:w="5213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2F7FB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$11,598</w:t>
            </w:r>
          </w:p>
        </w:tc>
      </w:tr>
      <w:tr>
        <w:tc>
          <w:tcPr>
            <w:tcW w:type="dxa" w:w="5213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FFF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Recurring Licensing (M365 Non-Profit)</w:t>
            </w:r>
          </w:p>
        </w:tc>
        <w:tc>
          <w:tcPr>
            <w:tcW w:type="dxa" w:w="5213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FFFFF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$594</w:t>
            </w:r>
          </w:p>
        </w:tc>
      </w:tr>
      <w:tr>
        <w:tc>
          <w:tcPr>
            <w:tcW w:type="dxa" w:w="5213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Projects / One-Time</w:t>
            </w:r>
          </w:p>
        </w:tc>
        <w:tc>
          <w:tcPr>
            <w:tcW w:type="dxa" w:w="5213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2F7FB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$0</w:t>
            </w:r>
          </w:p>
        </w:tc>
      </w:tr>
      <w:tr>
        <w:tc>
          <w:tcPr>
            <w:tcW w:type="dxa" w:w="5213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FFF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Labor Overage</w:t>
            </w:r>
          </w:p>
        </w:tc>
        <w:tc>
          <w:tcPr>
            <w:tcW w:type="dxa" w:w="5213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FFFFF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$0</w:t>
            </w:r>
          </w:p>
        </w:tc>
      </w:tr>
      <w:tr>
        <w:tc>
          <w:tcPr>
            <w:tcW w:type="dxa" w:w="5213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Unique Tickets (2025)</w:t>
            </w:r>
          </w:p>
        </w:tc>
        <w:tc>
          <w:tcPr>
            <w:tcW w:type="dxa" w:w="5213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2F7FB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169</w:t>
            </w:r>
          </w:p>
        </w:tc>
      </w:tr>
      <w:tr>
        <w:tc>
          <w:tcPr>
            <w:tcW w:type="dxa" w:w="5213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FFF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Total Support Hours Delivered</w:t>
            </w:r>
          </w:p>
        </w:tc>
        <w:tc>
          <w:tcPr>
            <w:tcW w:type="dxa" w:w="5213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FFFFF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149</w:t>
            </w:r>
          </w:p>
        </w:tc>
      </w:tr>
      <w:tr>
        <w:tc>
          <w:tcPr>
            <w:tcW w:type="dxa" w:w="5213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Desktops Managed</w:t>
            </w:r>
          </w:p>
        </w:tc>
        <w:tc>
          <w:tcPr>
            <w:tcW w:type="dxa" w:w="5213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2F7FB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8</w:t>
            </w:r>
          </w:p>
        </w:tc>
      </w:tr>
      <w:tr>
        <w:tc>
          <w:tcPr>
            <w:tcW w:type="dxa" w:w="5213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FFF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Active Mailboxes (Anti-Spam)</w:t>
            </w:r>
          </w:p>
        </w:tc>
        <w:tc>
          <w:tcPr>
            <w:tcW w:type="dxa" w:w="5213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FFFFF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9</w:t>
            </w:r>
          </w:p>
        </w:tc>
      </w:tr>
    </w:tbl>
    <w:p>
      <w:r>
        <w:br w:type="page"/>
      </w:r>
    </w:p>
    <w:p>
      <w:pPr>
        <w:pStyle w:val="Heading1"/>
        <w:spacing w:before="240" w:after="120"/>
      </w:pPr>
      <w:r>
        <w:rPr>
          <w:b/>
          <w:color w:val="1F4E79"/>
          <w:sz w:val="32"/>
        </w:rPr>
        <w:t>Section 1: Support Scope &amp; Coverage</w:t>
      </w:r>
    </w:p>
    <w:p>
      <w:pPr>
        <w:pStyle w:val="Heading2"/>
        <w:spacing w:before="200" w:after="80"/>
      </w:pPr>
      <w:r>
        <w:rPr>
          <w:b/>
          <w:color w:val="1F4E79"/>
          <w:sz w:val="26"/>
        </w:rPr>
        <w:t>1.1 What Is Included in Monthly Support</w:t>
      </w:r>
    </w:p>
    <w:p>
      <w:pPr>
        <w:spacing w:after="80"/>
      </w:pPr>
      <w:r>
        <w:rPr>
          <w:rFonts w:ascii="Calibri" w:hAnsi="Calibri"/>
          <w:sz w:val="20"/>
        </w:rPr>
        <w:t>The monthly agreement covers a managed IT package for HHOC, totaling $11,598 across 2025 (~$966/month). This breaks down into two components:</w:t>
      </w:r>
    </w:p>
    <w:p>
      <w:pPr>
        <w:spacing w:after="80"/>
      </w:pPr>
      <w:r>
        <w:rPr>
          <w:rFonts w:ascii="Calibri" w:hAnsi="Calibri"/>
          <w:b/>
          <w:sz w:val="20"/>
        </w:rPr>
        <w:t>Labor (~$8,231/year, ~$686/month):</w:t>
      </w:r>
      <w:r>
        <w:rPr>
          <w:rFonts w:ascii="Calibri" w:hAnsi="Calibri"/>
          <w:sz w:val="20"/>
        </w:rPr>
        <w:t xml:space="preserve"> US Tech Support ($150/hr, 2.75 hrs/mo contracted), offshore support providing US business hours coverage ($45/hr AH) and US overnight monitoring ($30/hr NH, reduced to $15/hr in November). Labor adjusts quarterly based on utilization.</w:t>
      </w:r>
    </w:p>
    <w:p>
      <w:pPr>
        <w:spacing w:after="80"/>
      </w:pPr>
      <w:r>
        <w:rPr>
          <w:rFonts w:ascii="Calibri" w:hAnsi="Calibri"/>
          <w:b/>
          <w:sz w:val="20"/>
        </w:rPr>
        <w:t>Managed Services (~$3,366/year, ~$281/month):</w:t>
      </w:r>
      <w:r>
        <w:rPr>
          <w:rFonts w:ascii="Calibri" w:hAnsi="Calibri"/>
          <w:sz w:val="20"/>
        </w:rPr>
        <w:t xml:space="preserve"> Security (CrowdStrike, Huntress, Malwarebytes), email security (anti-spam, DKIM/DMARC, phishing training), monitoring (RMM, patch management, My Remote), secure internet filtering, and site assessment.</w:t>
      </w:r>
    </w:p>
    <w:p>
      <w:pPr>
        <w:pStyle w:val="Heading2"/>
        <w:spacing w:before="200" w:after="80"/>
      </w:pPr>
      <w:r>
        <w:rPr>
          <w:b/>
          <w:color w:val="1F4E79"/>
          <w:sz w:val="26"/>
        </w:rPr>
        <w:t>1.2 Coverage Hours</w:t>
      </w:r>
    </w:p>
    <w:p>
      <w:pPr>
        <w:pStyle w:val="ListBullet"/>
        <w:spacing w:after="40"/>
      </w:pPr>
      <w:r>
        <w:rPr>
          <w:rFonts w:ascii="Calibri" w:hAnsi="Calibri"/>
          <w:b/>
          <w:sz w:val="20"/>
        </w:rPr>
        <w:t>Total:</w:t>
      </w:r>
      <w:r>
        <w:rPr>
          <w:rFonts w:ascii="Calibri" w:hAnsi="Calibri"/>
          <w:sz w:val="20"/>
        </w:rPr>
        <w:t xml:space="preserve"> 149.1 hours across 169 unique tickets.</w:t>
      </w:r>
    </w:p>
    <w:p>
      <w:pPr>
        <w:pStyle w:val="ListBullet"/>
        <w:spacing w:after="40"/>
      </w:pPr>
      <w:r>
        <w:rPr>
          <w:rFonts w:ascii="Calibri" w:hAnsi="Calibri"/>
          <w:b/>
          <w:sz w:val="20"/>
        </w:rPr>
        <w:t>Normal Hours (NH):</w:t>
      </w:r>
      <w:r>
        <w:rPr>
          <w:rFonts w:ascii="Calibri" w:hAnsi="Calibri"/>
          <w:sz w:val="20"/>
        </w:rPr>
        <w:t xml:space="preserve"> 98.3 hours (65.9%) — includes offshore NH (55.8 hrs for overnight monitoring) and US Tech Support NH (42.4 hrs).</w:t>
      </w:r>
    </w:p>
    <w:p>
      <w:pPr>
        <w:pStyle w:val="ListBullet"/>
        <w:spacing w:after="40"/>
      </w:pPr>
      <w:r>
        <w:rPr>
          <w:rFonts w:ascii="Calibri" w:hAnsi="Calibri"/>
          <w:b/>
          <w:sz w:val="20"/>
        </w:rPr>
        <w:t>After Hours (AH / US Daytime):</w:t>
      </w:r>
      <w:r>
        <w:rPr>
          <w:rFonts w:ascii="Calibri" w:hAnsi="Calibri"/>
          <w:sz w:val="20"/>
        </w:rPr>
        <w:t xml:space="preserve"> 50.8 hours (34.1%) — US daytime support delivered by offshore team during India after-hours shift at $45/hr.</w:t>
      </w:r>
    </w:p>
    <w:p>
      <w:pPr>
        <w:pStyle w:val="ListBullet"/>
        <w:spacing w:after="40"/>
      </w:pPr>
      <w:r>
        <w:rPr>
          <w:rFonts w:ascii="Calibri" w:hAnsi="Calibri"/>
          <w:b/>
          <w:sz w:val="20"/>
        </w:rPr>
        <w:t>Onsite:</w:t>
      </w:r>
      <w:r>
        <w:rPr>
          <w:rFonts w:ascii="Calibri" w:hAnsi="Calibri"/>
          <w:sz w:val="20"/>
        </w:rPr>
        <w:t xml:space="preserve"> Zero onsite hours — entirely remote delivery model.</w:t>
      </w:r>
    </w:p>
    <w:p>
      <w:pPr>
        <w:pStyle w:val="ListBullet"/>
        <w:spacing w:after="40"/>
      </w:pPr>
      <w:r>
        <w:rPr>
          <w:rFonts w:ascii="Calibri" w:hAnsi="Calibri"/>
          <w:b/>
          <w:sz w:val="20"/>
        </w:rPr>
        <w:t>Weekend Coverage:</w:t>
      </w:r>
      <w:r>
        <w:rPr>
          <w:rFonts w:ascii="Calibri" w:hAnsi="Calibri"/>
          <w:sz w:val="20"/>
        </w:rPr>
        <w:t xml:space="preserve"> 44 entries on weekends (20.3%), confirming 7-day availability.</w:t>
      </w:r>
    </w:p>
    <w:p>
      <w:pPr>
        <w:pStyle w:val="ListBullet"/>
        <w:spacing w:after="40"/>
      </w:pPr>
      <w:r>
        <w:rPr>
          <w:rFonts w:ascii="Calibri" w:hAnsi="Calibri"/>
          <w:b/>
          <w:sz w:val="20"/>
        </w:rPr>
        <w:t>Staffing Depth:</w:t>
      </w:r>
      <w:r>
        <w:rPr>
          <w:rFonts w:ascii="Calibri" w:hAnsi="Calibri"/>
          <w:sz w:val="20"/>
        </w:rPr>
        <w:t xml:space="preserve"> 18 unique technicians. Primary: Sunny Sark (38.8 hrs, US Tech), Parveen Biswal (25.6 hrs), Sanjeev Kumar (18.3 hrs).</w:t>
      </w:r>
    </w:p>
    <w:p>
      <w:pPr>
        <w:pStyle w:val="Heading2"/>
        <w:spacing w:before="200" w:after="80"/>
      </w:pPr>
      <w:r>
        <w:rPr>
          <w:b/>
          <w:color w:val="1F4E79"/>
          <w:sz w:val="26"/>
        </w:rPr>
        <w:t>1.3 Role Distribution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38"/>
        <w:gridCol w:w="1738"/>
        <w:gridCol w:w="1738"/>
        <w:gridCol w:w="1738"/>
        <w:gridCol w:w="1738"/>
        <w:gridCol w:w="1738"/>
      </w:tblGrid>
      <w:tr>
        <w:tc>
          <w:tcPr>
            <w:tcW w:type="dxa" w:w="1738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1F4E79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Role</w:t>
            </w:r>
          </w:p>
        </w:tc>
        <w:tc>
          <w:tcPr>
            <w:tcW w:type="dxa" w:w="1738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1F4E79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NH Hrs</w:t>
            </w:r>
          </w:p>
        </w:tc>
        <w:tc>
          <w:tcPr>
            <w:tcW w:type="dxa" w:w="1738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1F4E79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AH Hrs</w:t>
            </w:r>
          </w:p>
        </w:tc>
        <w:tc>
          <w:tcPr>
            <w:tcW w:type="dxa" w:w="1738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1F4E79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Total Hrs</w:t>
            </w:r>
          </w:p>
        </w:tc>
        <w:tc>
          <w:tcPr>
            <w:tcW w:type="dxa" w:w="1738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1F4E79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% of Total</w:t>
            </w:r>
          </w:p>
        </w:tc>
        <w:tc>
          <w:tcPr>
            <w:tcW w:type="dxa" w:w="1738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1F4E79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Entries</w:t>
            </w:r>
          </w:p>
        </w:tc>
      </w:tr>
      <w:tr>
        <w:tc>
          <w:tcPr>
            <w:tcW w:type="dxa" w:w="1738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FFF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Off-Shore Tech Support</w:t>
            </w:r>
          </w:p>
        </w:tc>
        <w:tc>
          <w:tcPr>
            <w:tcW w:type="dxa" w:w="1738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FFFFF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55.8</w:t>
            </w:r>
          </w:p>
        </w:tc>
        <w:tc>
          <w:tcPr>
            <w:tcW w:type="dxa" w:w="1738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FFFFF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50.8</w:t>
            </w:r>
          </w:p>
        </w:tc>
        <w:tc>
          <w:tcPr>
            <w:tcW w:type="dxa" w:w="1738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FFFFF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106.6</w:t>
            </w:r>
          </w:p>
        </w:tc>
        <w:tc>
          <w:tcPr>
            <w:tcW w:type="dxa" w:w="1738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FFFFF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71.5%</w:t>
            </w:r>
          </w:p>
        </w:tc>
        <w:tc>
          <w:tcPr>
            <w:tcW w:type="dxa" w:w="1738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FFFFF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157</w:t>
            </w:r>
          </w:p>
        </w:tc>
      </w:tr>
      <w:tr>
        <w:tc>
          <w:tcPr>
            <w:tcW w:type="dxa" w:w="1738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Tech Support (US)</w:t>
            </w:r>
          </w:p>
        </w:tc>
        <w:tc>
          <w:tcPr>
            <w:tcW w:type="dxa" w:w="1738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2F7FB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42.4</w:t>
            </w:r>
          </w:p>
        </w:tc>
        <w:tc>
          <w:tcPr>
            <w:tcW w:type="dxa" w:w="1738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2F7FB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0.0</w:t>
            </w:r>
          </w:p>
        </w:tc>
        <w:tc>
          <w:tcPr>
            <w:tcW w:type="dxa" w:w="1738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2F7FB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42.4</w:t>
            </w:r>
          </w:p>
        </w:tc>
        <w:tc>
          <w:tcPr>
            <w:tcW w:type="dxa" w:w="1738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2F7FB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28.4%</w:t>
            </w:r>
          </w:p>
        </w:tc>
        <w:tc>
          <w:tcPr>
            <w:tcW w:type="dxa" w:w="1738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2F7FB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60</w:t>
            </w:r>
          </w:p>
        </w:tc>
      </w:tr>
      <w:tr>
        <w:tc>
          <w:tcPr>
            <w:tcW w:type="dxa" w:w="1738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1F4E79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TOTAL</w:t>
            </w:r>
          </w:p>
        </w:tc>
        <w:tc>
          <w:tcPr>
            <w:tcW w:type="dxa" w:w="1738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1F4E79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98.3</w:t>
            </w:r>
          </w:p>
        </w:tc>
        <w:tc>
          <w:tcPr>
            <w:tcW w:type="dxa" w:w="1738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1F4E79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50.8</w:t>
            </w:r>
          </w:p>
        </w:tc>
        <w:tc>
          <w:tcPr>
            <w:tcW w:type="dxa" w:w="1738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1F4E79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149.1</w:t>
            </w:r>
          </w:p>
        </w:tc>
        <w:tc>
          <w:tcPr>
            <w:tcW w:type="dxa" w:w="1738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1F4E79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100%</w:t>
            </w:r>
          </w:p>
        </w:tc>
        <w:tc>
          <w:tcPr>
            <w:tcW w:type="dxa" w:w="1738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1F4E79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217</w:t>
            </w:r>
          </w:p>
        </w:tc>
      </w:tr>
    </w:tbl>
    <w:p>
      <w:pPr>
        <w:pStyle w:val="Heading2"/>
        <w:spacing w:before="200" w:after="80"/>
      </w:pPr>
      <w:r>
        <w:rPr>
          <w:b/>
          <w:color w:val="1F4E79"/>
          <w:sz w:val="26"/>
        </w:rPr>
        <w:t>1.4 Contract Structure</w:t>
      </w:r>
    </w:p>
    <w:p>
      <w:pPr>
        <w:spacing w:after="80"/>
      </w:pPr>
      <w:r>
        <w:rPr>
          <w:rFonts w:ascii="Calibri" w:hAnsi="Calibri"/>
          <w:sz w:val="20"/>
        </w:rPr>
        <w:t>HHOC operates under two service contracts: 'Monthly Service' (181 entries, 83.4%) covers standard support, while 'Monthly Service with India-Night' (36 entries, 16.6%) adds US daytime coverage through the offshore team's after-hours shift. Together they provide comprehensive 24/7 coverage.</w:t>
      </w:r>
    </w:p>
    <w:p>
      <w:r>
        <w:br w:type="page"/>
      </w:r>
    </w:p>
    <w:p>
      <w:pPr>
        <w:pStyle w:val="Heading1"/>
        <w:spacing w:before="240" w:after="120"/>
      </w:pPr>
      <w:r>
        <w:rPr>
          <w:b/>
          <w:color w:val="1F4E79"/>
          <w:sz w:val="32"/>
        </w:rPr>
        <w:t>Section 2: Effective Blended Rates</w:t>
      </w:r>
    </w:p>
    <w:p>
      <w:pPr>
        <w:spacing w:after="80"/>
      </w:pPr>
      <w:r>
        <w:rPr>
          <w:rFonts w:ascii="Calibri" w:hAnsi="Calibri"/>
          <w:sz w:val="20"/>
        </w:rPr>
        <w:t>Blended rates are calculated from billed hours on Monthly invoices: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2606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1F4E79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Role</w:t>
            </w:r>
          </w:p>
        </w:tc>
        <w:tc>
          <w:tcPr>
            <w:tcW w:type="dxa" w:w="2606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1F4E79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Contracted Revenue</w:t>
            </w:r>
          </w:p>
        </w:tc>
        <w:tc>
          <w:tcPr>
            <w:tcW w:type="dxa" w:w="2606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1F4E79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Billed Hours</w:t>
            </w:r>
          </w:p>
        </w:tc>
        <w:tc>
          <w:tcPr>
            <w:tcW w:type="dxa" w:w="2606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1F4E79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Blended Rate</w:t>
            </w:r>
          </w:p>
        </w:tc>
      </w:tr>
      <w:tr>
        <w:tc>
          <w:tcPr>
            <w:tcW w:type="dxa" w:w="2606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FFF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US Tech Support</w:t>
            </w:r>
          </w:p>
        </w:tc>
        <w:tc>
          <w:tcPr>
            <w:tcW w:type="dxa" w:w="2606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FFFFF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$4,050</w:t>
            </w:r>
          </w:p>
        </w:tc>
        <w:tc>
          <w:tcPr>
            <w:tcW w:type="dxa" w:w="2606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FFFFF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~27 hrs</w:t>
            </w:r>
          </w:p>
        </w:tc>
        <w:tc>
          <w:tcPr>
            <w:tcW w:type="dxa" w:w="2606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FFFFF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$150.00/hr</w:t>
            </w:r>
          </w:p>
        </w:tc>
      </w:tr>
      <w:tr>
        <w:tc>
          <w:tcPr>
            <w:tcW w:type="dxa" w:w="2606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Offshore AH (US Daytime)</w:t>
            </w:r>
          </w:p>
        </w:tc>
        <w:tc>
          <w:tcPr>
            <w:tcW w:type="dxa" w:w="2606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2F7FB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$2,430</w:t>
            </w:r>
          </w:p>
        </w:tc>
        <w:tc>
          <w:tcPr>
            <w:tcW w:type="dxa" w:w="2606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2F7FB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~54 hrs</w:t>
            </w:r>
          </w:p>
        </w:tc>
        <w:tc>
          <w:tcPr>
            <w:tcW w:type="dxa" w:w="2606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2F7FB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$45.00/hr</w:t>
            </w:r>
          </w:p>
        </w:tc>
      </w:tr>
      <w:tr>
        <w:tc>
          <w:tcPr>
            <w:tcW w:type="dxa" w:w="2606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FFF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Offshore NH (US Overnight)</w:t>
            </w:r>
          </w:p>
        </w:tc>
        <w:tc>
          <w:tcPr>
            <w:tcW w:type="dxa" w:w="2606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FFFFF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$1,751</w:t>
            </w:r>
          </w:p>
        </w:tc>
        <w:tc>
          <w:tcPr>
            <w:tcW w:type="dxa" w:w="2606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FFFFF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~89 hrs</w:t>
            </w:r>
          </w:p>
        </w:tc>
        <w:tc>
          <w:tcPr>
            <w:tcW w:type="dxa" w:w="2606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FFFFF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$19.67/hr*</w:t>
            </w:r>
          </w:p>
        </w:tc>
      </w:tr>
      <w:tr>
        <w:tc>
          <w:tcPr>
            <w:tcW w:type="dxa" w:w="2606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1F4E79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ALL LABOR</w:t>
            </w:r>
          </w:p>
        </w:tc>
        <w:tc>
          <w:tcPr>
            <w:tcW w:type="dxa" w:w="2606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1F4E79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$8,231</w:t>
            </w:r>
          </w:p>
        </w:tc>
        <w:tc>
          <w:tcPr>
            <w:tcW w:type="dxa" w:w="2606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1F4E79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~170 hrs</w:t>
            </w:r>
          </w:p>
        </w:tc>
        <w:tc>
          <w:tcPr>
            <w:tcW w:type="dxa" w:w="2606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1F4E79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$48.42/hr</w:t>
            </w:r>
          </w:p>
        </w:tc>
      </w:tr>
    </w:tbl>
    <w:p>
      <w:pPr>
        <w:spacing w:after="80"/>
      </w:pPr>
      <w:r>
        <w:rPr>
          <w:rFonts w:ascii="Calibri" w:hAnsi="Calibri"/>
          <w:i/>
          <w:color w:val="666666"/>
          <w:sz w:val="18"/>
        </w:rPr>
        <w:t>* NH rate was $30/hr Jan-Oct and $15/hr Nov-Dec, producing a blended NH rate of $19.67. US Tech Support at $150/hr and Offshore AH at $45/hr are higher than the standard Technijian schedule ($125 and $30 respectively).</w:t>
      </w:r>
    </w:p>
    <w:p>
      <w:pPr>
        <w:spacing w:before="160" w:after="80"/>
      </w:pPr>
      <w:r>
        <w:rPr>
          <w:b/>
          <w:color w:val="1F4E79"/>
          <w:sz w:val="22"/>
        </w:rPr>
        <w:t>Rate Card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347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1F4E79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Role / Tier</w:t>
            </w:r>
          </w:p>
        </w:tc>
        <w:tc>
          <w:tcPr>
            <w:tcW w:type="dxa" w:w="347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1F4E79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Rate</w:t>
            </w:r>
          </w:p>
        </w:tc>
        <w:tc>
          <w:tcPr>
            <w:tcW w:type="dxa" w:w="347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1F4E79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Coverage</w:t>
            </w:r>
          </w:p>
        </w:tc>
      </w:tr>
      <w:tr>
        <w:tc>
          <w:tcPr>
            <w:tcW w:type="dxa" w:w="347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FFF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Offshore Support (US Overnight)</w:t>
            </w:r>
          </w:p>
        </w:tc>
        <w:tc>
          <w:tcPr>
            <w:tcW w:type="dxa" w:w="347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FFFFF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$15.00/hr*</w:t>
            </w:r>
          </w:p>
        </w:tc>
        <w:tc>
          <w:tcPr>
            <w:tcW w:type="dxa" w:w="347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FFF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Overnight monitoring/maintenance (India NH)</w:t>
            </w:r>
          </w:p>
        </w:tc>
      </w:tr>
      <w:tr>
        <w:tc>
          <w:tcPr>
            <w:tcW w:type="dxa" w:w="347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Offshore Support (US Daytime)</w:t>
            </w:r>
          </w:p>
        </w:tc>
        <w:tc>
          <w:tcPr>
            <w:tcW w:type="dxa" w:w="347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2F7FB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$45.00/hr</w:t>
            </w:r>
          </w:p>
        </w:tc>
        <w:tc>
          <w:tcPr>
            <w:tcW w:type="dxa" w:w="347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US business hours support (India AH)</w:t>
            </w:r>
          </w:p>
        </w:tc>
      </w:tr>
      <w:tr>
        <w:tc>
          <w:tcPr>
            <w:tcW w:type="dxa" w:w="347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FFF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US Tech Support (Remote)</w:t>
            </w:r>
          </w:p>
        </w:tc>
        <w:tc>
          <w:tcPr>
            <w:tcW w:type="dxa" w:w="347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FFFFF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$150.00/hr</w:t>
            </w:r>
          </w:p>
        </w:tc>
        <w:tc>
          <w:tcPr>
            <w:tcW w:type="dxa" w:w="347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FFF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Escalations, complex issues</w:t>
            </w:r>
          </w:p>
        </w:tc>
      </w:tr>
    </w:tbl>
    <w:p>
      <w:pPr>
        <w:spacing w:after="80"/>
      </w:pPr>
      <w:r>
        <w:rPr>
          <w:rFonts w:ascii="Calibri" w:hAnsi="Calibri"/>
          <w:i/>
          <w:color w:val="666666"/>
          <w:sz w:val="18"/>
        </w:rPr>
        <w:t>* NH rate was $30/hr through October 2025; adjusted to $15/hr from November 2025.</w:t>
      </w:r>
    </w:p>
    <w:p>
      <w:r>
        <w:br w:type="page"/>
      </w:r>
    </w:p>
    <w:p>
      <w:pPr>
        <w:pStyle w:val="Heading1"/>
        <w:spacing w:before="240" w:after="120"/>
      </w:pPr>
      <w:r>
        <w:rPr>
          <w:b/>
          <w:color w:val="1F4E79"/>
          <w:sz w:val="32"/>
        </w:rPr>
        <w:t>Section 3: Licensing &amp; Recurring Services</w:t>
      </w:r>
    </w:p>
    <w:p>
      <w:pPr>
        <w:pStyle w:val="Heading2"/>
        <w:spacing w:before="200" w:after="80"/>
      </w:pPr>
      <w:r>
        <w:rPr>
          <w:b/>
          <w:color w:val="1F4E79"/>
          <w:sz w:val="26"/>
        </w:rPr>
        <w:t>3.1 Monthly Managed Services Breakdown</w:t>
      </w:r>
    </w:p>
    <w:p>
      <w:pPr>
        <w:spacing w:after="80"/>
      </w:pPr>
      <w:r>
        <w:rPr>
          <w:rFonts w:ascii="Calibri" w:hAnsi="Calibri"/>
          <w:sz w:val="20"/>
        </w:rPr>
        <w:t>The monthly contract ($11,598/year, ~$966/month) covers labor and managed services: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347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1F4E79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Service Category</w:t>
            </w:r>
          </w:p>
        </w:tc>
        <w:tc>
          <w:tcPr>
            <w:tcW w:type="dxa" w:w="347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1F4E79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Annual</w:t>
            </w:r>
          </w:p>
        </w:tc>
        <w:tc>
          <w:tcPr>
            <w:tcW w:type="dxa" w:w="347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1F4E79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Monthly</w:t>
            </w:r>
          </w:p>
        </w:tc>
      </w:tr>
      <w:tr>
        <w:tc>
          <w:tcPr>
            <w:tcW w:type="dxa" w:w="347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FFF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Labor (US Tech + Offshore)</w:t>
            </w:r>
          </w:p>
        </w:tc>
        <w:tc>
          <w:tcPr>
            <w:tcW w:type="dxa" w:w="347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FFFFF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$8,231</w:t>
            </w:r>
          </w:p>
        </w:tc>
        <w:tc>
          <w:tcPr>
            <w:tcW w:type="dxa" w:w="347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FFFFF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$686</w:t>
            </w:r>
          </w:p>
        </w:tc>
      </w:tr>
      <w:tr>
        <w:tc>
          <w:tcPr>
            <w:tcW w:type="dxa" w:w="347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Security &amp; Endpoint (CrowdStrike/Huntress/Malwarebytes)</w:t>
            </w:r>
          </w:p>
        </w:tc>
        <w:tc>
          <w:tcPr>
            <w:tcW w:type="dxa" w:w="347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2F7FB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$1,107</w:t>
            </w:r>
          </w:p>
        </w:tc>
        <w:tc>
          <w:tcPr>
            <w:tcW w:type="dxa" w:w="347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2F7FB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$92</w:t>
            </w:r>
          </w:p>
        </w:tc>
      </w:tr>
      <w:tr>
        <w:tc>
          <w:tcPr>
            <w:tcW w:type="dxa" w:w="347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FFF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Email Security (Anti-Spam/DKIM/Phishing)</w:t>
            </w:r>
          </w:p>
        </w:tc>
        <w:tc>
          <w:tcPr>
            <w:tcW w:type="dxa" w:w="347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FFFFF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$1,071</w:t>
            </w:r>
          </w:p>
        </w:tc>
        <w:tc>
          <w:tcPr>
            <w:tcW w:type="dxa" w:w="347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FFFFF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$89</w:t>
            </w:r>
          </w:p>
        </w:tc>
      </w:tr>
      <w:tr>
        <w:tc>
          <w:tcPr>
            <w:tcW w:type="dxa" w:w="347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Assessment (Site Assessment)</w:t>
            </w:r>
          </w:p>
        </w:tc>
        <w:tc>
          <w:tcPr>
            <w:tcW w:type="dxa" w:w="347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2F7FB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$450</w:t>
            </w:r>
          </w:p>
        </w:tc>
        <w:tc>
          <w:tcPr>
            <w:tcW w:type="dxa" w:w="347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2F7FB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$38</w:t>
            </w:r>
          </w:p>
        </w:tc>
      </w:tr>
      <w:tr>
        <w:tc>
          <w:tcPr>
            <w:tcW w:type="dxa" w:w="347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FFF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Monitoring &amp; Management (RMM/Remote/Patch)</w:t>
            </w:r>
          </w:p>
        </w:tc>
        <w:tc>
          <w:tcPr>
            <w:tcW w:type="dxa" w:w="347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FFFFF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$410</w:t>
            </w:r>
          </w:p>
        </w:tc>
        <w:tc>
          <w:tcPr>
            <w:tcW w:type="dxa" w:w="347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FFFFF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$34</w:t>
            </w:r>
          </w:p>
        </w:tc>
      </w:tr>
      <w:tr>
        <w:tc>
          <w:tcPr>
            <w:tcW w:type="dxa" w:w="347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Secure Internet</w:t>
            </w:r>
          </w:p>
        </w:tc>
        <w:tc>
          <w:tcPr>
            <w:tcW w:type="dxa" w:w="347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2F7FB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$328</w:t>
            </w:r>
          </w:p>
        </w:tc>
        <w:tc>
          <w:tcPr>
            <w:tcW w:type="dxa" w:w="347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2F7FB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$27</w:t>
            </w:r>
          </w:p>
        </w:tc>
      </w:tr>
      <w:tr>
        <w:tc>
          <w:tcPr>
            <w:tcW w:type="dxa" w:w="347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1F4E79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TOTAL</w:t>
            </w:r>
          </w:p>
        </w:tc>
        <w:tc>
          <w:tcPr>
            <w:tcW w:type="dxa" w:w="347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1F4E79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$11,598</w:t>
            </w:r>
          </w:p>
        </w:tc>
        <w:tc>
          <w:tcPr>
            <w:tcW w:type="dxa" w:w="347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1F4E79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$966</w:t>
            </w:r>
          </w:p>
        </w:tc>
      </w:tr>
    </w:tbl>
    <w:p>
      <w:pPr>
        <w:spacing w:before="160" w:after="80"/>
      </w:pPr>
      <w:r>
        <w:rPr>
          <w:b/>
          <w:color w:val="1F4E79"/>
          <w:sz w:val="22"/>
        </w:rPr>
        <w:t>December 2025 Monthly Invoice Detail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85"/>
        <w:gridCol w:w="2085"/>
        <w:gridCol w:w="2085"/>
        <w:gridCol w:w="2085"/>
        <w:gridCol w:w="2085"/>
      </w:tblGrid>
      <w:tr>
        <w:tc>
          <w:tcPr>
            <w:tcW w:type="dxa" w:w="208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1F4E79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Service</w:t>
            </w:r>
          </w:p>
        </w:tc>
        <w:tc>
          <w:tcPr>
            <w:tcW w:type="dxa" w:w="208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1F4E79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Qty</w:t>
            </w:r>
          </w:p>
        </w:tc>
        <w:tc>
          <w:tcPr>
            <w:tcW w:type="dxa" w:w="208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1F4E79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Rate</w:t>
            </w:r>
          </w:p>
        </w:tc>
        <w:tc>
          <w:tcPr>
            <w:tcW w:type="dxa" w:w="208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1F4E79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Monthly</w:t>
            </w:r>
          </w:p>
        </w:tc>
        <w:tc>
          <w:tcPr>
            <w:tcW w:type="dxa" w:w="208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1F4E79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Category</w:t>
            </w:r>
          </w:p>
        </w:tc>
      </w:tr>
      <w:tr>
        <w:tc>
          <w:tcPr>
            <w:tcW w:type="dxa" w:w="208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FFF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US Tech Support (IRV-TS1)</w:t>
            </w:r>
          </w:p>
        </w:tc>
        <w:tc>
          <w:tcPr>
            <w:tcW w:type="dxa" w:w="208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FFFFF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2.75</w:t>
            </w:r>
          </w:p>
        </w:tc>
        <w:tc>
          <w:tcPr>
            <w:tcW w:type="dxa" w:w="208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FFFFF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$150.00</w:t>
            </w:r>
          </w:p>
        </w:tc>
        <w:tc>
          <w:tcPr>
            <w:tcW w:type="dxa" w:w="208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FFFFF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$413</w:t>
            </w:r>
          </w:p>
        </w:tc>
        <w:tc>
          <w:tcPr>
            <w:tcW w:type="dxa" w:w="208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FFF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Labor</w:t>
            </w:r>
          </w:p>
        </w:tc>
      </w:tr>
      <w:tr>
        <w:tc>
          <w:tcPr>
            <w:tcW w:type="dxa" w:w="208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Offshore AH — US Daytime (CHD-TS1)</w:t>
            </w:r>
          </w:p>
        </w:tc>
        <w:tc>
          <w:tcPr>
            <w:tcW w:type="dxa" w:w="208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2F7FB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4.51</w:t>
            </w:r>
          </w:p>
        </w:tc>
        <w:tc>
          <w:tcPr>
            <w:tcW w:type="dxa" w:w="208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2F7FB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$45.00</w:t>
            </w:r>
          </w:p>
        </w:tc>
        <w:tc>
          <w:tcPr>
            <w:tcW w:type="dxa" w:w="208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2F7FB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$203</w:t>
            </w:r>
          </w:p>
        </w:tc>
        <w:tc>
          <w:tcPr>
            <w:tcW w:type="dxa" w:w="208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Labor</w:t>
            </w:r>
          </w:p>
        </w:tc>
      </w:tr>
      <w:tr>
        <w:tc>
          <w:tcPr>
            <w:tcW w:type="dxa" w:w="208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FFF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Offshore NH — US Overnight (CHD-TS1)</w:t>
            </w:r>
          </w:p>
        </w:tc>
        <w:tc>
          <w:tcPr>
            <w:tcW w:type="dxa" w:w="208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FFFFF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5.50</w:t>
            </w:r>
          </w:p>
        </w:tc>
        <w:tc>
          <w:tcPr>
            <w:tcW w:type="dxa" w:w="208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FFFFF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$15.00</w:t>
            </w:r>
          </w:p>
        </w:tc>
        <w:tc>
          <w:tcPr>
            <w:tcW w:type="dxa" w:w="208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FFFFF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$83</w:t>
            </w:r>
          </w:p>
        </w:tc>
        <w:tc>
          <w:tcPr>
            <w:tcW w:type="dxa" w:w="208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FFF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Labor</w:t>
            </w:r>
          </w:p>
        </w:tc>
      </w:tr>
      <w:tr>
        <w:tc>
          <w:tcPr>
            <w:tcW w:type="dxa" w:w="208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CrowdStrike — Desktop (AVD)</w:t>
            </w:r>
          </w:p>
        </w:tc>
        <w:tc>
          <w:tcPr>
            <w:tcW w:type="dxa" w:w="208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2F7FB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8</w:t>
            </w:r>
          </w:p>
        </w:tc>
        <w:tc>
          <w:tcPr>
            <w:tcW w:type="dxa" w:w="208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2F7FB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$8.50</w:t>
            </w:r>
          </w:p>
        </w:tc>
        <w:tc>
          <w:tcPr>
            <w:tcW w:type="dxa" w:w="208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2F7FB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$68</w:t>
            </w:r>
          </w:p>
        </w:tc>
        <w:tc>
          <w:tcPr>
            <w:tcW w:type="dxa" w:w="208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Security</w:t>
            </w:r>
          </w:p>
        </w:tc>
      </w:tr>
      <w:tr>
        <w:tc>
          <w:tcPr>
            <w:tcW w:type="dxa" w:w="208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FFF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Anti-Spam Standard (ASA)</w:t>
            </w:r>
          </w:p>
        </w:tc>
        <w:tc>
          <w:tcPr>
            <w:tcW w:type="dxa" w:w="208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FFFFF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9</w:t>
            </w:r>
          </w:p>
        </w:tc>
        <w:tc>
          <w:tcPr>
            <w:tcW w:type="dxa" w:w="208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FFFFF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$6.25</w:t>
            </w:r>
          </w:p>
        </w:tc>
        <w:tc>
          <w:tcPr>
            <w:tcW w:type="dxa" w:w="208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FFFFF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$56</w:t>
            </w:r>
          </w:p>
        </w:tc>
        <w:tc>
          <w:tcPr>
            <w:tcW w:type="dxa" w:w="208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FFF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Email Security</w:t>
            </w:r>
          </w:p>
        </w:tc>
      </w:tr>
      <w:tr>
        <w:tc>
          <w:tcPr>
            <w:tcW w:type="dxa" w:w="208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Site Assessment (SA)</w:t>
            </w:r>
          </w:p>
        </w:tc>
        <w:tc>
          <w:tcPr>
            <w:tcW w:type="dxa" w:w="208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2F7FB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1</w:t>
            </w:r>
          </w:p>
        </w:tc>
        <w:tc>
          <w:tcPr>
            <w:tcW w:type="dxa" w:w="208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2F7FB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$50.00</w:t>
            </w:r>
          </w:p>
        </w:tc>
        <w:tc>
          <w:tcPr>
            <w:tcW w:type="dxa" w:w="208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2F7FB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$50</w:t>
            </w:r>
          </w:p>
        </w:tc>
        <w:tc>
          <w:tcPr>
            <w:tcW w:type="dxa" w:w="208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Assessment</w:t>
            </w:r>
          </w:p>
        </w:tc>
      </w:tr>
      <w:tr>
        <w:tc>
          <w:tcPr>
            <w:tcW w:type="dxa" w:w="208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FFF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Huntress — Desktop (AVMH)</w:t>
            </w:r>
          </w:p>
        </w:tc>
        <w:tc>
          <w:tcPr>
            <w:tcW w:type="dxa" w:w="208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FFFFF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8</w:t>
            </w:r>
          </w:p>
        </w:tc>
        <w:tc>
          <w:tcPr>
            <w:tcW w:type="dxa" w:w="208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FFFFF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$5.00</w:t>
            </w:r>
          </w:p>
        </w:tc>
        <w:tc>
          <w:tcPr>
            <w:tcW w:type="dxa" w:w="208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FFFFF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$40</w:t>
            </w:r>
          </w:p>
        </w:tc>
        <w:tc>
          <w:tcPr>
            <w:tcW w:type="dxa" w:w="208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FFF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Security</w:t>
            </w:r>
          </w:p>
        </w:tc>
      </w:tr>
      <w:tr>
        <w:tc>
          <w:tcPr>
            <w:tcW w:type="dxa" w:w="208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Secure Internet (SI)</w:t>
            </w:r>
          </w:p>
        </w:tc>
        <w:tc>
          <w:tcPr>
            <w:tcW w:type="dxa" w:w="208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2F7FB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8</w:t>
            </w:r>
          </w:p>
        </w:tc>
        <w:tc>
          <w:tcPr>
            <w:tcW w:type="dxa" w:w="208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2F7FB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$4.00</w:t>
            </w:r>
          </w:p>
        </w:tc>
        <w:tc>
          <w:tcPr>
            <w:tcW w:type="dxa" w:w="208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2F7FB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$32</w:t>
            </w:r>
          </w:p>
        </w:tc>
        <w:tc>
          <w:tcPr>
            <w:tcW w:type="dxa" w:w="208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Secure Internet</w:t>
            </w:r>
          </w:p>
        </w:tc>
      </w:tr>
      <w:tr>
        <w:tc>
          <w:tcPr>
            <w:tcW w:type="dxa" w:w="208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FFF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Patch Management (PMW)</w:t>
            </w:r>
          </w:p>
        </w:tc>
        <w:tc>
          <w:tcPr>
            <w:tcW w:type="dxa" w:w="208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FFFFF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8</w:t>
            </w:r>
          </w:p>
        </w:tc>
        <w:tc>
          <w:tcPr>
            <w:tcW w:type="dxa" w:w="208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FFFFF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$3.00</w:t>
            </w:r>
          </w:p>
        </w:tc>
        <w:tc>
          <w:tcPr>
            <w:tcW w:type="dxa" w:w="208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FFFFF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$24</w:t>
            </w:r>
          </w:p>
        </w:tc>
        <w:tc>
          <w:tcPr>
            <w:tcW w:type="dxa" w:w="208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FFF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Monitoring</w:t>
            </w:r>
          </w:p>
        </w:tc>
      </w:tr>
      <w:tr>
        <w:tc>
          <w:tcPr>
            <w:tcW w:type="dxa" w:w="208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DKIM/DMARC</w:t>
            </w:r>
          </w:p>
        </w:tc>
        <w:tc>
          <w:tcPr>
            <w:tcW w:type="dxa" w:w="208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2F7FB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1</w:t>
            </w:r>
          </w:p>
        </w:tc>
        <w:tc>
          <w:tcPr>
            <w:tcW w:type="dxa" w:w="208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2F7FB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$20.00</w:t>
            </w:r>
          </w:p>
        </w:tc>
        <w:tc>
          <w:tcPr>
            <w:tcW w:type="dxa" w:w="208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2F7FB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$20</w:t>
            </w:r>
          </w:p>
        </w:tc>
        <w:tc>
          <w:tcPr>
            <w:tcW w:type="dxa" w:w="208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Email Security</w:t>
            </w:r>
          </w:p>
        </w:tc>
      </w:tr>
      <w:tr>
        <w:tc>
          <w:tcPr>
            <w:tcW w:type="dxa" w:w="208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FFF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My Remote (MR)</w:t>
            </w:r>
          </w:p>
        </w:tc>
        <w:tc>
          <w:tcPr>
            <w:tcW w:type="dxa" w:w="208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FFFFF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8</w:t>
            </w:r>
          </w:p>
        </w:tc>
        <w:tc>
          <w:tcPr>
            <w:tcW w:type="dxa" w:w="208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FFFFF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$2.00</w:t>
            </w:r>
          </w:p>
        </w:tc>
        <w:tc>
          <w:tcPr>
            <w:tcW w:type="dxa" w:w="208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FFFFF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$16</w:t>
            </w:r>
          </w:p>
        </w:tc>
        <w:tc>
          <w:tcPr>
            <w:tcW w:type="dxa" w:w="208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FFF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Monitoring</w:t>
            </w:r>
          </w:p>
        </w:tc>
      </w:tr>
    </w:tbl>
    <w:p>
      <w:pPr>
        <w:pStyle w:val="Heading2"/>
        <w:spacing w:before="200" w:after="80"/>
      </w:pPr>
      <w:r>
        <w:rPr>
          <w:b/>
          <w:color w:val="1F4E79"/>
          <w:sz w:val="26"/>
        </w:rPr>
        <w:t>3.2 Recurring Licensing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347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1F4E79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License / Service</w:t>
            </w:r>
          </w:p>
        </w:tc>
        <w:tc>
          <w:tcPr>
            <w:tcW w:type="dxa" w:w="347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1F4E79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Annual (2025)</w:t>
            </w:r>
          </w:p>
        </w:tc>
        <w:tc>
          <w:tcPr>
            <w:tcW w:type="dxa" w:w="347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1F4E79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Notes</w:t>
            </w:r>
          </w:p>
        </w:tc>
      </w:tr>
      <w:tr>
        <w:tc>
          <w:tcPr>
            <w:tcW w:type="dxa" w:w="347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FFF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M365 Business Standard (Non-Profit)</w:t>
            </w:r>
          </w:p>
        </w:tc>
        <w:tc>
          <w:tcPr>
            <w:tcW w:type="dxa" w:w="347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FFFFF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$594</w:t>
            </w:r>
          </w:p>
        </w:tc>
        <w:tc>
          <w:tcPr>
            <w:tcW w:type="dxa" w:w="347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FFF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Nonprofit pricing</w:t>
            </w:r>
          </w:p>
        </w:tc>
      </w:tr>
      <w:tr>
        <w:tc>
          <w:tcPr>
            <w:tcW w:type="dxa" w:w="347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1F4E79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TOTAL</w:t>
            </w:r>
          </w:p>
        </w:tc>
        <w:tc>
          <w:tcPr>
            <w:tcW w:type="dxa" w:w="347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1F4E79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$594</w:t>
            </w:r>
          </w:p>
        </w:tc>
        <w:tc>
          <w:tcPr>
            <w:tcW w:type="dxa" w:w="347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1F4E79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</w:r>
          </w:p>
        </w:tc>
      </w:tr>
    </w:tbl>
    <w:p>
      <w:pPr>
        <w:pStyle w:val="Heading2"/>
        <w:spacing w:before="200" w:after="80"/>
      </w:pPr>
      <w:r>
        <w:rPr>
          <w:b/>
          <w:color w:val="1F4E79"/>
          <w:sz w:val="26"/>
        </w:rPr>
        <w:t>3.3 Monthly Run Rate Trend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347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1F4E79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Month</w:t>
            </w:r>
          </w:p>
        </w:tc>
        <w:tc>
          <w:tcPr>
            <w:tcW w:type="dxa" w:w="347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1F4E79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Monthly Total</w:t>
            </w:r>
          </w:p>
        </w:tc>
        <w:tc>
          <w:tcPr>
            <w:tcW w:type="dxa" w:w="347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1F4E79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Notes</w:t>
            </w:r>
          </w:p>
        </w:tc>
      </w:tr>
      <w:tr>
        <w:tc>
          <w:tcPr>
            <w:tcW w:type="dxa" w:w="347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FFF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Jan 2025</w:t>
            </w:r>
          </w:p>
        </w:tc>
        <w:tc>
          <w:tcPr>
            <w:tcW w:type="dxa" w:w="347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FFFFF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$658</w:t>
            </w:r>
          </w:p>
        </w:tc>
        <w:tc>
          <w:tcPr>
            <w:tcW w:type="dxa" w:w="347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FFF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Initial run rate</w:t>
            </w:r>
          </w:p>
        </w:tc>
      </w:tr>
      <w:tr>
        <w:tc>
          <w:tcPr>
            <w:tcW w:type="dxa" w:w="347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Feb 2025</w:t>
            </w:r>
          </w:p>
        </w:tc>
        <w:tc>
          <w:tcPr>
            <w:tcW w:type="dxa" w:w="347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2F7FB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$639</w:t>
            </w:r>
          </w:p>
        </w:tc>
        <w:tc>
          <w:tcPr>
            <w:tcW w:type="dxa" w:w="347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</w:r>
          </w:p>
        </w:tc>
      </w:tr>
      <w:tr>
        <w:tc>
          <w:tcPr>
            <w:tcW w:type="dxa" w:w="347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FFF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Mar 2025</w:t>
            </w:r>
          </w:p>
        </w:tc>
        <w:tc>
          <w:tcPr>
            <w:tcW w:type="dxa" w:w="347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FFFFF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$783</w:t>
            </w:r>
          </w:p>
        </w:tc>
        <w:tc>
          <w:tcPr>
            <w:tcW w:type="dxa" w:w="347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FFF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</w:r>
          </w:p>
        </w:tc>
      </w:tr>
      <w:tr>
        <w:tc>
          <w:tcPr>
            <w:tcW w:type="dxa" w:w="347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FF3CD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Apr 2025</w:t>
            </w:r>
          </w:p>
        </w:tc>
        <w:tc>
          <w:tcPr>
            <w:tcW w:type="dxa" w:w="347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FF3CD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$1,330</w:t>
            </w:r>
          </w:p>
        </w:tc>
        <w:tc>
          <w:tcPr>
            <w:tcW w:type="dxa" w:w="347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FF3CD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Labor allotment increased</w:t>
            </w:r>
          </w:p>
        </w:tc>
      </w:tr>
      <w:tr>
        <w:tc>
          <w:tcPr>
            <w:tcW w:type="dxa" w:w="347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FFF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May 2025</w:t>
            </w:r>
          </w:p>
        </w:tc>
        <w:tc>
          <w:tcPr>
            <w:tcW w:type="dxa" w:w="347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FFFFF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$1,092</w:t>
            </w:r>
          </w:p>
        </w:tc>
        <w:tc>
          <w:tcPr>
            <w:tcW w:type="dxa" w:w="347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FFF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</w:r>
          </w:p>
        </w:tc>
      </w:tr>
      <w:tr>
        <w:tc>
          <w:tcPr>
            <w:tcW w:type="dxa" w:w="347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Jun 2025</w:t>
            </w:r>
          </w:p>
        </w:tc>
        <w:tc>
          <w:tcPr>
            <w:tcW w:type="dxa" w:w="347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2F7FB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$1,057</w:t>
            </w:r>
          </w:p>
        </w:tc>
        <w:tc>
          <w:tcPr>
            <w:tcW w:type="dxa" w:w="347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</w:r>
          </w:p>
        </w:tc>
      </w:tr>
      <w:tr>
        <w:tc>
          <w:tcPr>
            <w:tcW w:type="dxa" w:w="347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FFF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Jul 2025</w:t>
            </w:r>
          </w:p>
        </w:tc>
        <w:tc>
          <w:tcPr>
            <w:tcW w:type="dxa" w:w="347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FFFFF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$958</w:t>
            </w:r>
          </w:p>
        </w:tc>
        <w:tc>
          <w:tcPr>
            <w:tcW w:type="dxa" w:w="347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FFF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Credit adjustments</w:t>
            </w:r>
          </w:p>
        </w:tc>
      </w:tr>
      <w:tr>
        <w:tc>
          <w:tcPr>
            <w:tcW w:type="dxa" w:w="347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Aug 2025</w:t>
            </w:r>
          </w:p>
        </w:tc>
        <w:tc>
          <w:tcPr>
            <w:tcW w:type="dxa" w:w="347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2F7FB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$1,039</w:t>
            </w:r>
          </w:p>
        </w:tc>
        <w:tc>
          <w:tcPr>
            <w:tcW w:type="dxa" w:w="347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</w:r>
          </w:p>
        </w:tc>
      </w:tr>
      <w:tr>
        <w:tc>
          <w:tcPr>
            <w:tcW w:type="dxa" w:w="347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FFF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Sep 2025</w:t>
            </w:r>
          </w:p>
        </w:tc>
        <w:tc>
          <w:tcPr>
            <w:tcW w:type="dxa" w:w="347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FFFFF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$1,017</w:t>
            </w:r>
          </w:p>
        </w:tc>
        <w:tc>
          <w:tcPr>
            <w:tcW w:type="dxa" w:w="347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FFF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</w:r>
          </w:p>
        </w:tc>
      </w:tr>
      <w:tr>
        <w:tc>
          <w:tcPr>
            <w:tcW w:type="dxa" w:w="347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Oct 2025</w:t>
            </w:r>
          </w:p>
        </w:tc>
        <w:tc>
          <w:tcPr>
            <w:tcW w:type="dxa" w:w="347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2F7FB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$1,017</w:t>
            </w:r>
          </w:p>
        </w:tc>
        <w:tc>
          <w:tcPr>
            <w:tcW w:type="dxa" w:w="347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</w:r>
          </w:p>
        </w:tc>
      </w:tr>
      <w:tr>
        <w:tc>
          <w:tcPr>
            <w:tcW w:type="dxa" w:w="347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FF3CD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Nov 2025</w:t>
            </w:r>
          </w:p>
        </w:tc>
        <w:tc>
          <w:tcPr>
            <w:tcW w:type="dxa" w:w="347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FF3CD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$1,004</w:t>
            </w:r>
          </w:p>
        </w:tc>
        <w:tc>
          <w:tcPr>
            <w:tcW w:type="dxa" w:w="347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FF3CD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NH rate reduced to $15/hr</w:t>
            </w:r>
          </w:p>
        </w:tc>
      </w:tr>
      <w:tr>
        <w:tc>
          <w:tcPr>
            <w:tcW w:type="dxa" w:w="347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Dec 2025</w:t>
            </w:r>
          </w:p>
        </w:tc>
        <w:tc>
          <w:tcPr>
            <w:tcW w:type="dxa" w:w="347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2F7FB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$1,004</w:t>
            </w:r>
          </w:p>
        </w:tc>
        <w:tc>
          <w:tcPr>
            <w:tcW w:type="dxa" w:w="347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Stabilized</w:t>
            </w:r>
          </w:p>
        </w:tc>
      </w:tr>
    </w:tbl>
    <w:p>
      <w:pPr>
        <w:spacing w:after="80"/>
      </w:pPr>
      <w:r>
        <w:rPr>
          <w:rFonts w:ascii="Calibri" w:hAnsi="Calibri"/>
          <w:i/>
          <w:color w:val="666666"/>
          <w:sz w:val="18"/>
        </w:rPr>
        <w:t>The run rate stepped up significantly in April (from ~$660 to ~$1,330) when labor allotments were increased. It then stabilized around $1,000-1,050/month. The NH rate reduction in November ($30 to $15/hr) was offset by increased contracted hours.</w:t>
      </w:r>
    </w:p>
    <w:p>
      <w:pPr>
        <w:pStyle w:val="Heading2"/>
        <w:spacing w:before="200" w:after="80"/>
      </w:pPr>
      <w:r>
        <w:rPr>
          <w:b/>
          <w:color w:val="1F4E79"/>
          <w:sz w:val="26"/>
        </w:rPr>
        <w:t>3.4 Infrastructure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347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1F4E79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Category</w:t>
            </w:r>
          </w:p>
        </w:tc>
        <w:tc>
          <w:tcPr>
            <w:tcW w:type="dxa" w:w="347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1F4E79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Count</w:t>
            </w:r>
          </w:p>
        </w:tc>
        <w:tc>
          <w:tcPr>
            <w:tcW w:type="dxa" w:w="347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1F4E79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Detail</w:t>
            </w:r>
          </w:p>
        </w:tc>
      </w:tr>
      <w:tr>
        <w:tc>
          <w:tcPr>
            <w:tcW w:type="dxa" w:w="347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FFF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Desktops</w:t>
            </w:r>
          </w:p>
        </w:tc>
        <w:tc>
          <w:tcPr>
            <w:tcW w:type="dxa" w:w="347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FFFFF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8</w:t>
            </w:r>
          </w:p>
        </w:tc>
        <w:tc>
          <w:tcPr>
            <w:tcW w:type="dxa" w:w="347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FFF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CrowdStrike, Huntress, Malwarebytes, RMM, Patch Mgmt</w:t>
            </w:r>
          </w:p>
        </w:tc>
      </w:tr>
      <w:tr>
        <w:tc>
          <w:tcPr>
            <w:tcW w:type="dxa" w:w="347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Mailboxes (Anti-Spam)</w:t>
            </w:r>
          </w:p>
        </w:tc>
        <w:tc>
          <w:tcPr>
            <w:tcW w:type="dxa" w:w="347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2F7FB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9</w:t>
            </w:r>
          </w:p>
        </w:tc>
        <w:tc>
          <w:tcPr>
            <w:tcW w:type="dxa" w:w="347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Anti-Spam Standard protection</w:t>
            </w:r>
          </w:p>
        </w:tc>
      </w:tr>
      <w:tr>
        <w:tc>
          <w:tcPr>
            <w:tcW w:type="dxa" w:w="347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FFF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Domains</w:t>
            </w:r>
          </w:p>
        </w:tc>
        <w:tc>
          <w:tcPr>
            <w:tcW w:type="dxa" w:w="347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FFFFF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1</w:t>
            </w:r>
          </w:p>
        </w:tc>
        <w:tc>
          <w:tcPr>
            <w:tcW w:type="dxa" w:w="347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FFF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DKIM/DMARC email authentication</w:t>
            </w:r>
          </w:p>
        </w:tc>
      </w:tr>
      <w:tr>
        <w:tc>
          <w:tcPr>
            <w:tcW w:type="dxa" w:w="347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Servers</w:t>
            </w:r>
          </w:p>
        </w:tc>
        <w:tc>
          <w:tcPr>
            <w:tcW w:type="dxa" w:w="347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2F7FB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0</w:t>
            </w:r>
          </w:p>
        </w:tc>
        <w:tc>
          <w:tcPr>
            <w:tcW w:type="dxa" w:w="347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No servers under management</w:t>
            </w:r>
          </w:p>
        </w:tc>
      </w:tr>
      <w:tr>
        <w:tc>
          <w:tcPr>
            <w:tcW w:type="dxa" w:w="347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FFF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Cloud Hosting</w:t>
            </w:r>
          </w:p>
        </w:tc>
        <w:tc>
          <w:tcPr>
            <w:tcW w:type="dxa" w:w="347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FFFFF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None</w:t>
            </w:r>
          </w:p>
        </w:tc>
        <w:tc>
          <w:tcPr>
            <w:tcW w:type="dxa" w:w="347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FFF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No cloud VMs or storage</w:t>
            </w:r>
          </w:p>
        </w:tc>
      </w:tr>
      <w:tr>
        <w:tc>
          <w:tcPr>
            <w:tcW w:type="dxa" w:w="347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VoIP</w:t>
            </w:r>
          </w:p>
        </w:tc>
        <w:tc>
          <w:tcPr>
            <w:tcW w:type="dxa" w:w="347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2F7FB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None</w:t>
            </w:r>
          </w:p>
        </w:tc>
        <w:tc>
          <w:tcPr>
            <w:tcW w:type="dxa" w:w="347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No telephony services</w:t>
            </w:r>
          </w:p>
        </w:tc>
      </w:tr>
    </w:tbl>
    <w:p>
      <w:r>
        <w:br w:type="page"/>
      </w:r>
    </w:p>
    <w:p>
      <w:pPr>
        <w:pStyle w:val="Heading1"/>
        <w:spacing w:before="240" w:after="120"/>
      </w:pPr>
      <w:r>
        <w:rPr>
          <w:b/>
          <w:color w:val="1F4E79"/>
          <w:sz w:val="32"/>
        </w:rPr>
        <w:t>Section 4: Projects &amp; One-Time Spend</w:t>
      </w:r>
    </w:p>
    <w:p>
      <w:pPr>
        <w:spacing w:after="80"/>
      </w:pPr>
      <w:r>
        <w:rPr>
          <w:rFonts w:ascii="Calibri" w:hAnsi="Calibri"/>
          <w:sz w:val="20"/>
        </w:rPr>
        <w:t>HHOC had zero one-time or project spend in 2025 and zero labor overage. All work was handled within the contracted monthly allotments.</w:t>
      </w:r>
    </w:p>
    <w:p>
      <w:pPr>
        <w:spacing w:after="80"/>
      </w:pPr>
      <w:r>
        <w:rPr>
          <w:rFonts w:ascii="Calibri" w:hAnsi="Calibri"/>
          <w:sz w:val="20"/>
        </w:rPr>
        <w:t>This clean billing profile reflects a stable, well-sized engagement. However, as the desktop fleet ages, budget $2,000-4,000 for potential hardware refresh or replacement needs in 2026.</w:t>
      </w:r>
    </w:p>
    <w:p>
      <w:r>
        <w:br w:type="page"/>
      </w:r>
    </w:p>
    <w:p>
      <w:pPr>
        <w:pStyle w:val="Heading1"/>
        <w:spacing w:before="240" w:after="120"/>
      </w:pPr>
      <w:r>
        <w:rPr>
          <w:b/>
          <w:color w:val="1F4E79"/>
          <w:sz w:val="32"/>
        </w:rPr>
        <w:t>Section 5: Ticket Categorization</w:t>
      </w:r>
    </w:p>
    <w:p>
      <w:pPr>
        <w:spacing w:after="80"/>
      </w:pPr>
      <w:r>
        <w:rPr>
          <w:rFonts w:ascii="Calibri" w:hAnsi="Calibri"/>
          <w:sz w:val="20"/>
        </w:rPr>
        <w:t>All 169 unique tickets were categorized by analyzing title and notes fields: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85"/>
        <w:gridCol w:w="2085"/>
        <w:gridCol w:w="2085"/>
        <w:gridCol w:w="2085"/>
        <w:gridCol w:w="2085"/>
      </w:tblGrid>
      <w:tr>
        <w:tc>
          <w:tcPr>
            <w:tcW w:type="dxa" w:w="208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1F4E79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Category</w:t>
            </w:r>
          </w:p>
        </w:tc>
        <w:tc>
          <w:tcPr>
            <w:tcW w:type="dxa" w:w="208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1F4E79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Type</w:t>
            </w:r>
          </w:p>
        </w:tc>
        <w:tc>
          <w:tcPr>
            <w:tcW w:type="dxa" w:w="208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1F4E79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Tickets</w:t>
            </w:r>
          </w:p>
        </w:tc>
        <w:tc>
          <w:tcPr>
            <w:tcW w:type="dxa" w:w="208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1F4E79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Hours</w:t>
            </w:r>
          </w:p>
        </w:tc>
        <w:tc>
          <w:tcPr>
            <w:tcW w:type="dxa" w:w="208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1F4E79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Avg Hrs</w:t>
            </w:r>
          </w:p>
        </w:tc>
      </w:tr>
      <w:tr>
        <w:tc>
          <w:tcPr>
            <w:tcW w:type="dxa" w:w="208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FF3CD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Email &amp; M365</w:t>
            </w:r>
          </w:p>
        </w:tc>
        <w:tc>
          <w:tcPr>
            <w:tcW w:type="dxa" w:w="208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FF3CD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Reactive</w:t>
            </w:r>
          </w:p>
        </w:tc>
        <w:tc>
          <w:tcPr>
            <w:tcW w:type="dxa" w:w="208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FF3CD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70</w:t>
            </w:r>
          </w:p>
        </w:tc>
        <w:tc>
          <w:tcPr>
            <w:tcW w:type="dxa" w:w="208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FF3CD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69.2</w:t>
            </w:r>
          </w:p>
        </w:tc>
        <w:tc>
          <w:tcPr>
            <w:tcW w:type="dxa" w:w="208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FF3CD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0.99</w:t>
            </w:r>
          </w:p>
        </w:tc>
      </w:tr>
      <w:tr>
        <w:tc>
          <w:tcPr>
            <w:tcW w:type="dxa" w:w="208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Patch Management</w:t>
            </w:r>
          </w:p>
        </w:tc>
        <w:tc>
          <w:tcPr>
            <w:tcW w:type="dxa" w:w="208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Proactive</w:t>
            </w:r>
          </w:p>
        </w:tc>
        <w:tc>
          <w:tcPr>
            <w:tcW w:type="dxa" w:w="208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2F7FB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17</w:t>
            </w:r>
          </w:p>
        </w:tc>
        <w:tc>
          <w:tcPr>
            <w:tcW w:type="dxa" w:w="208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2F7FB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7.2</w:t>
            </w:r>
          </w:p>
        </w:tc>
        <w:tc>
          <w:tcPr>
            <w:tcW w:type="dxa" w:w="208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2F7FB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0.42</w:t>
            </w:r>
          </w:p>
        </w:tc>
      </w:tr>
      <w:tr>
        <w:tc>
          <w:tcPr>
            <w:tcW w:type="dxa" w:w="208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FFF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RMM &amp; Agent Management</w:t>
            </w:r>
          </w:p>
        </w:tc>
        <w:tc>
          <w:tcPr>
            <w:tcW w:type="dxa" w:w="208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FFF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Proactive</w:t>
            </w:r>
          </w:p>
        </w:tc>
        <w:tc>
          <w:tcPr>
            <w:tcW w:type="dxa" w:w="208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FFFFF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13</w:t>
            </w:r>
          </w:p>
        </w:tc>
        <w:tc>
          <w:tcPr>
            <w:tcW w:type="dxa" w:w="208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FFFFF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8.5</w:t>
            </w:r>
          </w:p>
        </w:tc>
        <w:tc>
          <w:tcPr>
            <w:tcW w:type="dxa" w:w="208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FFFFF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0.65</w:t>
            </w:r>
          </w:p>
        </w:tc>
      </w:tr>
      <w:tr>
        <w:tc>
          <w:tcPr>
            <w:tcW w:type="dxa" w:w="208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Security &amp; Endpoint</w:t>
            </w:r>
          </w:p>
        </w:tc>
        <w:tc>
          <w:tcPr>
            <w:tcW w:type="dxa" w:w="208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Proactive</w:t>
            </w:r>
          </w:p>
        </w:tc>
        <w:tc>
          <w:tcPr>
            <w:tcW w:type="dxa" w:w="208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2F7FB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13</w:t>
            </w:r>
          </w:p>
        </w:tc>
        <w:tc>
          <w:tcPr>
            <w:tcW w:type="dxa" w:w="208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2F7FB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10.9</w:t>
            </w:r>
          </w:p>
        </w:tc>
        <w:tc>
          <w:tcPr>
            <w:tcW w:type="dxa" w:w="208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2F7FB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0.84</w:t>
            </w:r>
          </w:p>
        </w:tc>
      </w:tr>
      <w:tr>
        <w:tc>
          <w:tcPr>
            <w:tcW w:type="dxa" w:w="208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FFF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General IT Support</w:t>
            </w:r>
          </w:p>
        </w:tc>
        <w:tc>
          <w:tcPr>
            <w:tcW w:type="dxa" w:w="208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FFF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Reactive</w:t>
            </w:r>
          </w:p>
        </w:tc>
        <w:tc>
          <w:tcPr>
            <w:tcW w:type="dxa" w:w="208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FFFFF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10</w:t>
            </w:r>
          </w:p>
        </w:tc>
        <w:tc>
          <w:tcPr>
            <w:tcW w:type="dxa" w:w="208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FFFFF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11.2</w:t>
            </w:r>
          </w:p>
        </w:tc>
        <w:tc>
          <w:tcPr>
            <w:tcW w:type="dxa" w:w="208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FFFFF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1.12</w:t>
            </w:r>
          </w:p>
        </w:tc>
      </w:tr>
      <w:tr>
        <w:tc>
          <w:tcPr>
            <w:tcW w:type="dxa" w:w="208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Monitoring &amp; Alerts</w:t>
            </w:r>
          </w:p>
        </w:tc>
        <w:tc>
          <w:tcPr>
            <w:tcW w:type="dxa" w:w="208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Proactive</w:t>
            </w:r>
          </w:p>
        </w:tc>
        <w:tc>
          <w:tcPr>
            <w:tcW w:type="dxa" w:w="208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2F7FB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10</w:t>
            </w:r>
          </w:p>
        </w:tc>
        <w:tc>
          <w:tcPr>
            <w:tcW w:type="dxa" w:w="208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2F7FB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7.4</w:t>
            </w:r>
          </w:p>
        </w:tc>
        <w:tc>
          <w:tcPr>
            <w:tcW w:type="dxa" w:w="208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2F7FB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0.74</w:t>
            </w:r>
          </w:p>
        </w:tc>
      </w:tr>
      <w:tr>
        <w:tc>
          <w:tcPr>
            <w:tcW w:type="dxa" w:w="208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FFF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Backup &amp; DR</w:t>
            </w:r>
          </w:p>
        </w:tc>
        <w:tc>
          <w:tcPr>
            <w:tcW w:type="dxa" w:w="208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FFF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Proactive</w:t>
            </w:r>
          </w:p>
        </w:tc>
        <w:tc>
          <w:tcPr>
            <w:tcW w:type="dxa" w:w="208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FFFFF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7</w:t>
            </w:r>
          </w:p>
        </w:tc>
        <w:tc>
          <w:tcPr>
            <w:tcW w:type="dxa" w:w="208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FFFFF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5.0</w:t>
            </w:r>
          </w:p>
        </w:tc>
        <w:tc>
          <w:tcPr>
            <w:tcW w:type="dxa" w:w="208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FFFFF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0.72</w:t>
            </w:r>
          </w:p>
        </w:tc>
      </w:tr>
      <w:tr>
        <w:tc>
          <w:tcPr>
            <w:tcW w:type="dxa" w:w="208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Software Installation &amp; Updates</w:t>
            </w:r>
          </w:p>
        </w:tc>
        <w:tc>
          <w:tcPr>
            <w:tcW w:type="dxa" w:w="208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Reactive</w:t>
            </w:r>
          </w:p>
        </w:tc>
        <w:tc>
          <w:tcPr>
            <w:tcW w:type="dxa" w:w="208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2F7FB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7</w:t>
            </w:r>
          </w:p>
        </w:tc>
        <w:tc>
          <w:tcPr>
            <w:tcW w:type="dxa" w:w="208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2F7FB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4.1</w:t>
            </w:r>
          </w:p>
        </w:tc>
        <w:tc>
          <w:tcPr>
            <w:tcW w:type="dxa" w:w="208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2F7FB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0.59</w:t>
            </w:r>
          </w:p>
        </w:tc>
      </w:tr>
      <w:tr>
        <w:tc>
          <w:tcPr>
            <w:tcW w:type="dxa" w:w="208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FFF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Workstation &amp; Hardware</w:t>
            </w:r>
          </w:p>
        </w:tc>
        <w:tc>
          <w:tcPr>
            <w:tcW w:type="dxa" w:w="208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FFF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Reactive</w:t>
            </w:r>
          </w:p>
        </w:tc>
        <w:tc>
          <w:tcPr>
            <w:tcW w:type="dxa" w:w="208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FFFFF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4</w:t>
            </w:r>
          </w:p>
        </w:tc>
        <w:tc>
          <w:tcPr>
            <w:tcW w:type="dxa" w:w="208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FFFFF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4.4</w:t>
            </w:r>
          </w:p>
        </w:tc>
        <w:tc>
          <w:tcPr>
            <w:tcW w:type="dxa" w:w="208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FFFFF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1.09</w:t>
            </w:r>
          </w:p>
        </w:tc>
      </w:tr>
      <w:tr>
        <w:tc>
          <w:tcPr>
            <w:tcW w:type="dxa" w:w="208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File &amp; Permissions</w:t>
            </w:r>
          </w:p>
        </w:tc>
        <w:tc>
          <w:tcPr>
            <w:tcW w:type="dxa" w:w="208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Reactive</w:t>
            </w:r>
          </w:p>
        </w:tc>
        <w:tc>
          <w:tcPr>
            <w:tcW w:type="dxa" w:w="208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2F7FB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3</w:t>
            </w:r>
          </w:p>
        </w:tc>
        <w:tc>
          <w:tcPr>
            <w:tcW w:type="dxa" w:w="208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2F7FB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9.4</w:t>
            </w:r>
          </w:p>
        </w:tc>
        <w:tc>
          <w:tcPr>
            <w:tcW w:type="dxa" w:w="208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2F7FB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3.14</w:t>
            </w:r>
          </w:p>
        </w:tc>
      </w:tr>
      <w:tr>
        <w:tc>
          <w:tcPr>
            <w:tcW w:type="dxa" w:w="208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FFF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Firewall &amp; Network</w:t>
            </w:r>
          </w:p>
        </w:tc>
        <w:tc>
          <w:tcPr>
            <w:tcW w:type="dxa" w:w="208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FFF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Reactive</w:t>
            </w:r>
          </w:p>
        </w:tc>
        <w:tc>
          <w:tcPr>
            <w:tcW w:type="dxa" w:w="208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FFFFF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3</w:t>
            </w:r>
          </w:p>
        </w:tc>
        <w:tc>
          <w:tcPr>
            <w:tcW w:type="dxa" w:w="208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FFFFF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2.0</w:t>
            </w:r>
          </w:p>
        </w:tc>
        <w:tc>
          <w:tcPr>
            <w:tcW w:type="dxa" w:w="208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FFFFF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0.68</w:t>
            </w:r>
          </w:p>
        </w:tc>
      </w:tr>
      <w:tr>
        <w:tc>
          <w:tcPr>
            <w:tcW w:type="dxa" w:w="208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Domain &amp; SSL</w:t>
            </w:r>
          </w:p>
        </w:tc>
        <w:tc>
          <w:tcPr>
            <w:tcW w:type="dxa" w:w="208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Reactive</w:t>
            </w:r>
          </w:p>
        </w:tc>
        <w:tc>
          <w:tcPr>
            <w:tcW w:type="dxa" w:w="208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2F7FB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2</w:t>
            </w:r>
          </w:p>
        </w:tc>
        <w:tc>
          <w:tcPr>
            <w:tcW w:type="dxa" w:w="208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2F7FB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3.2</w:t>
            </w:r>
          </w:p>
        </w:tc>
        <w:tc>
          <w:tcPr>
            <w:tcW w:type="dxa" w:w="208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2F7FB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1.62</w:t>
            </w:r>
          </w:p>
        </w:tc>
      </w:tr>
      <w:tr>
        <w:tc>
          <w:tcPr>
            <w:tcW w:type="dxa" w:w="208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FFF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Password &amp; Account Mgmt</w:t>
            </w:r>
          </w:p>
        </w:tc>
        <w:tc>
          <w:tcPr>
            <w:tcW w:type="dxa" w:w="208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FFF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Reactive</w:t>
            </w:r>
          </w:p>
        </w:tc>
        <w:tc>
          <w:tcPr>
            <w:tcW w:type="dxa" w:w="208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FFFFF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2</w:t>
            </w:r>
          </w:p>
        </w:tc>
        <w:tc>
          <w:tcPr>
            <w:tcW w:type="dxa" w:w="208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FFFFF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1.0</w:t>
            </w:r>
          </w:p>
        </w:tc>
        <w:tc>
          <w:tcPr>
            <w:tcW w:type="dxa" w:w="208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FFFFF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0.52</w:t>
            </w:r>
          </w:p>
        </w:tc>
      </w:tr>
      <w:tr>
        <w:tc>
          <w:tcPr>
            <w:tcW w:type="dxa" w:w="208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Phone / VoIP</w:t>
            </w:r>
          </w:p>
        </w:tc>
        <w:tc>
          <w:tcPr>
            <w:tcW w:type="dxa" w:w="208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Reactive</w:t>
            </w:r>
          </w:p>
        </w:tc>
        <w:tc>
          <w:tcPr>
            <w:tcW w:type="dxa" w:w="208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2F7FB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2</w:t>
            </w:r>
          </w:p>
        </w:tc>
        <w:tc>
          <w:tcPr>
            <w:tcW w:type="dxa" w:w="208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2F7FB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0.6</w:t>
            </w:r>
          </w:p>
        </w:tc>
        <w:tc>
          <w:tcPr>
            <w:tcW w:type="dxa" w:w="208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2F7FB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0.30</w:t>
            </w:r>
          </w:p>
        </w:tc>
      </w:tr>
      <w:tr>
        <w:tc>
          <w:tcPr>
            <w:tcW w:type="dxa" w:w="208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FFF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User Onboarding/Offboarding</w:t>
            </w:r>
          </w:p>
        </w:tc>
        <w:tc>
          <w:tcPr>
            <w:tcW w:type="dxa" w:w="208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FFF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Reactive</w:t>
            </w:r>
          </w:p>
        </w:tc>
        <w:tc>
          <w:tcPr>
            <w:tcW w:type="dxa" w:w="208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FFFFF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2</w:t>
            </w:r>
          </w:p>
        </w:tc>
        <w:tc>
          <w:tcPr>
            <w:tcW w:type="dxa" w:w="208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FFFFF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1.6</w:t>
            </w:r>
          </w:p>
        </w:tc>
        <w:tc>
          <w:tcPr>
            <w:tcW w:type="dxa" w:w="208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FFFFF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0.79</w:t>
            </w:r>
          </w:p>
        </w:tc>
      </w:tr>
      <w:tr>
        <w:tc>
          <w:tcPr>
            <w:tcW w:type="dxa" w:w="208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Printing &amp; Scanning</w:t>
            </w:r>
          </w:p>
        </w:tc>
        <w:tc>
          <w:tcPr>
            <w:tcW w:type="dxa" w:w="208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Reactive</w:t>
            </w:r>
          </w:p>
        </w:tc>
        <w:tc>
          <w:tcPr>
            <w:tcW w:type="dxa" w:w="208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2F7FB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1</w:t>
            </w:r>
          </w:p>
        </w:tc>
        <w:tc>
          <w:tcPr>
            <w:tcW w:type="dxa" w:w="208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2F7FB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1.3</w:t>
            </w:r>
          </w:p>
        </w:tc>
        <w:tc>
          <w:tcPr>
            <w:tcW w:type="dxa" w:w="208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2F7FB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1.33</w:t>
            </w:r>
          </w:p>
        </w:tc>
      </w:tr>
      <w:tr>
        <w:tc>
          <w:tcPr>
            <w:tcW w:type="dxa" w:w="208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FFF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Other (Server, App, Dev)</w:t>
            </w:r>
          </w:p>
        </w:tc>
        <w:tc>
          <w:tcPr>
            <w:tcW w:type="dxa" w:w="208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FFF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Reactive</w:t>
            </w:r>
          </w:p>
        </w:tc>
        <w:tc>
          <w:tcPr>
            <w:tcW w:type="dxa" w:w="208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FFFFF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3</w:t>
            </w:r>
          </w:p>
        </w:tc>
        <w:tc>
          <w:tcPr>
            <w:tcW w:type="dxa" w:w="208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FFFFF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1.8</w:t>
            </w:r>
          </w:p>
        </w:tc>
        <w:tc>
          <w:tcPr>
            <w:tcW w:type="dxa" w:w="208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FFFFF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0.60</w:t>
            </w:r>
          </w:p>
        </w:tc>
      </w:tr>
      <w:tr>
        <w:tc>
          <w:tcPr>
            <w:tcW w:type="dxa" w:w="208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1F4E79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TOTAL</w:t>
            </w:r>
          </w:p>
        </w:tc>
        <w:tc>
          <w:tcPr>
            <w:tcW w:type="dxa" w:w="208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1F4E79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</w:r>
          </w:p>
        </w:tc>
        <w:tc>
          <w:tcPr>
            <w:tcW w:type="dxa" w:w="208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1F4E79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169</w:t>
            </w:r>
          </w:p>
        </w:tc>
        <w:tc>
          <w:tcPr>
            <w:tcW w:type="dxa" w:w="208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1F4E79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149.1</w:t>
            </w:r>
          </w:p>
        </w:tc>
        <w:tc>
          <w:tcPr>
            <w:tcW w:type="dxa" w:w="208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1F4E79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0.88</w:t>
            </w:r>
          </w:p>
        </w:tc>
      </w:tr>
    </w:tbl>
    <w:p>
      <w:pPr>
        <w:spacing w:after="80"/>
      </w:pPr>
      <w:r>
        <w:rPr>
          <w:rFonts w:ascii="Calibri" w:hAnsi="Calibri"/>
          <w:sz w:val="20"/>
        </w:rPr>
        <w:t>Proactive work accounts for 60 tickets (35.5%) and reactive for 109 tickets (64.5%). The reactive tilt is driven by Email &amp; M365 dominance — 70 tickets consuming 69.2 hours (46.4% of all support hours).</w:t>
      </w:r>
    </w:p>
    <w:p>
      <w:pPr>
        <w:spacing w:before="160" w:after="80"/>
      </w:pPr>
      <w:r>
        <w:rPr>
          <w:b/>
          <w:color w:val="1F4E79"/>
          <w:sz w:val="22"/>
        </w:rPr>
        <w:t>Key Insights</w:t>
      </w:r>
    </w:p>
    <w:p>
      <w:pPr>
        <w:pStyle w:val="ListBullet"/>
        <w:spacing w:after="40"/>
      </w:pPr>
      <w:r>
        <w:rPr>
          <w:rFonts w:ascii="Calibri" w:hAnsi="Calibri"/>
          <w:b/>
          <w:sz w:val="20"/>
        </w:rPr>
        <w:t>Email &amp; M365 dominance:</w:t>
      </w:r>
      <w:r>
        <w:rPr>
          <w:rFonts w:ascii="Calibri" w:hAnsi="Calibri"/>
          <w:sz w:val="20"/>
        </w:rPr>
        <w:t xml:space="preserve"> 70 tickets (41.4%) and 69.2 hours (46.4%). This includes M365 admin, SharePoint, Teams, Outlook configuration, and domain work. Average 0.99 hrs/ticket indicates moderate complexity per issue.</w:t>
      </w:r>
    </w:p>
    <w:p>
      <w:pPr>
        <w:pStyle w:val="ListBullet"/>
        <w:spacing w:after="40"/>
      </w:pPr>
      <w:r>
        <w:rPr>
          <w:rFonts w:ascii="Calibri" w:hAnsi="Calibri"/>
          <w:b/>
          <w:sz w:val="20"/>
        </w:rPr>
        <w:t>File &amp; Permissions complexity:</w:t>
      </w:r>
      <w:r>
        <w:rPr>
          <w:rFonts w:ascii="Calibri" w:hAnsi="Calibri"/>
          <w:sz w:val="20"/>
        </w:rPr>
        <w:t xml:space="preserve"> Only 3 tickets but 9.4 hours (3.14 hrs/ticket avg) — the highest per-ticket effort of any category. Suggests complex permission structures.</w:t>
      </w:r>
    </w:p>
    <w:p>
      <w:pPr>
        <w:pStyle w:val="ListBullet"/>
        <w:spacing w:after="40"/>
      </w:pPr>
      <w:r>
        <w:rPr>
          <w:rFonts w:ascii="Calibri" w:hAnsi="Calibri"/>
          <w:b/>
          <w:sz w:val="20"/>
        </w:rPr>
        <w:t>Proactive maintenance base:</w:t>
      </w:r>
      <w:r>
        <w:rPr>
          <w:rFonts w:ascii="Calibri" w:hAnsi="Calibri"/>
          <w:sz w:val="20"/>
        </w:rPr>
        <w:t xml:space="preserve"> Patch Management (17), RMM (13), Security (13), Monitoring (10), Backup (7) collectively form a solid proactive base of 60 tickets.</w:t>
      </w:r>
    </w:p>
    <w:p>
      <w:r>
        <w:br w:type="page"/>
      </w:r>
    </w:p>
    <w:p>
      <w:pPr>
        <w:pStyle w:val="Heading1"/>
        <w:spacing w:before="240" w:after="120"/>
      </w:pPr>
      <w:r>
        <w:rPr>
          <w:b/>
          <w:color w:val="1F4E79"/>
          <w:sz w:val="32"/>
        </w:rPr>
        <w:t>Section 6: Service Metrics &amp; Trends</w:t>
      </w:r>
    </w:p>
    <w:p>
      <w:pPr>
        <w:spacing w:before="160" w:after="80"/>
      </w:pPr>
      <w:r>
        <w:rPr>
          <w:b/>
          <w:color w:val="1F4E79"/>
          <w:sz w:val="22"/>
        </w:rPr>
        <w:t>Monthly Volume Table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38"/>
        <w:gridCol w:w="1738"/>
        <w:gridCol w:w="1738"/>
        <w:gridCol w:w="1738"/>
        <w:gridCol w:w="1738"/>
        <w:gridCol w:w="1738"/>
      </w:tblGrid>
      <w:tr>
        <w:tc>
          <w:tcPr>
            <w:tcW w:type="dxa" w:w="1738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1F4E79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Month</w:t>
            </w:r>
          </w:p>
        </w:tc>
        <w:tc>
          <w:tcPr>
            <w:tcW w:type="dxa" w:w="1738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1F4E79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Tickets</w:t>
            </w:r>
          </w:p>
        </w:tc>
        <w:tc>
          <w:tcPr>
            <w:tcW w:type="dxa" w:w="1738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1F4E79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NH</w:t>
            </w:r>
          </w:p>
        </w:tc>
        <w:tc>
          <w:tcPr>
            <w:tcW w:type="dxa" w:w="1738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1F4E79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AH</w:t>
            </w:r>
          </w:p>
        </w:tc>
        <w:tc>
          <w:tcPr>
            <w:tcW w:type="dxa" w:w="1738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1F4E79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Total</w:t>
            </w:r>
          </w:p>
        </w:tc>
        <w:tc>
          <w:tcPr>
            <w:tcW w:type="dxa" w:w="1738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1F4E79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Hrs/Tkt</w:t>
            </w:r>
          </w:p>
        </w:tc>
      </w:tr>
      <w:tr>
        <w:tc>
          <w:tcPr>
            <w:tcW w:type="dxa" w:w="1738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FFF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Jan</w:t>
            </w:r>
          </w:p>
        </w:tc>
        <w:tc>
          <w:tcPr>
            <w:tcW w:type="dxa" w:w="1738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FFFFF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16</w:t>
            </w:r>
          </w:p>
        </w:tc>
        <w:tc>
          <w:tcPr>
            <w:tcW w:type="dxa" w:w="1738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FFFFF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9.4</w:t>
            </w:r>
          </w:p>
        </w:tc>
        <w:tc>
          <w:tcPr>
            <w:tcW w:type="dxa" w:w="1738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FFFFF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3.2</w:t>
            </w:r>
          </w:p>
        </w:tc>
        <w:tc>
          <w:tcPr>
            <w:tcW w:type="dxa" w:w="1738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FFFFF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12.6</w:t>
            </w:r>
          </w:p>
        </w:tc>
        <w:tc>
          <w:tcPr>
            <w:tcW w:type="dxa" w:w="1738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FFFFF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0.79</w:t>
            </w:r>
          </w:p>
        </w:tc>
      </w:tr>
      <w:tr>
        <w:tc>
          <w:tcPr>
            <w:tcW w:type="dxa" w:w="1738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Feb</w:t>
            </w:r>
          </w:p>
        </w:tc>
        <w:tc>
          <w:tcPr>
            <w:tcW w:type="dxa" w:w="1738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2F7FB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16</w:t>
            </w:r>
          </w:p>
        </w:tc>
        <w:tc>
          <w:tcPr>
            <w:tcW w:type="dxa" w:w="1738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2F7FB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5.2</w:t>
            </w:r>
          </w:p>
        </w:tc>
        <w:tc>
          <w:tcPr>
            <w:tcW w:type="dxa" w:w="1738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2F7FB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2.2</w:t>
            </w:r>
          </w:p>
        </w:tc>
        <w:tc>
          <w:tcPr>
            <w:tcW w:type="dxa" w:w="1738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2F7FB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7.4</w:t>
            </w:r>
          </w:p>
        </w:tc>
        <w:tc>
          <w:tcPr>
            <w:tcW w:type="dxa" w:w="1738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2F7FB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0.46</w:t>
            </w:r>
          </w:p>
        </w:tc>
      </w:tr>
      <w:tr>
        <w:tc>
          <w:tcPr>
            <w:tcW w:type="dxa" w:w="1738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FFF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Mar</w:t>
            </w:r>
          </w:p>
        </w:tc>
        <w:tc>
          <w:tcPr>
            <w:tcW w:type="dxa" w:w="1738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FFFFF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15</w:t>
            </w:r>
          </w:p>
        </w:tc>
        <w:tc>
          <w:tcPr>
            <w:tcW w:type="dxa" w:w="1738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FFFFF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3.5</w:t>
            </w:r>
          </w:p>
        </w:tc>
        <w:tc>
          <w:tcPr>
            <w:tcW w:type="dxa" w:w="1738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FFFFF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3.1</w:t>
            </w:r>
          </w:p>
        </w:tc>
        <w:tc>
          <w:tcPr>
            <w:tcW w:type="dxa" w:w="1738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FFFFF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6.6</w:t>
            </w:r>
          </w:p>
        </w:tc>
        <w:tc>
          <w:tcPr>
            <w:tcW w:type="dxa" w:w="1738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FFFFF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0.44</w:t>
            </w:r>
          </w:p>
        </w:tc>
      </w:tr>
      <w:tr>
        <w:tc>
          <w:tcPr>
            <w:tcW w:type="dxa" w:w="1738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Apr</w:t>
            </w:r>
          </w:p>
        </w:tc>
        <w:tc>
          <w:tcPr>
            <w:tcW w:type="dxa" w:w="1738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2F7FB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8</w:t>
            </w:r>
          </w:p>
        </w:tc>
        <w:tc>
          <w:tcPr>
            <w:tcW w:type="dxa" w:w="1738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2F7FB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3.1</w:t>
            </w:r>
          </w:p>
        </w:tc>
        <w:tc>
          <w:tcPr>
            <w:tcW w:type="dxa" w:w="1738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2F7FB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5.3</w:t>
            </w:r>
          </w:p>
        </w:tc>
        <w:tc>
          <w:tcPr>
            <w:tcW w:type="dxa" w:w="1738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2F7FB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8.4</w:t>
            </w:r>
          </w:p>
        </w:tc>
        <w:tc>
          <w:tcPr>
            <w:tcW w:type="dxa" w:w="1738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2F7FB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1.06</w:t>
            </w:r>
          </w:p>
        </w:tc>
      </w:tr>
      <w:tr>
        <w:tc>
          <w:tcPr>
            <w:tcW w:type="dxa" w:w="1738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FF3CD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May</w:t>
            </w:r>
          </w:p>
        </w:tc>
        <w:tc>
          <w:tcPr>
            <w:tcW w:type="dxa" w:w="1738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FF3CD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5</w:t>
            </w:r>
          </w:p>
        </w:tc>
        <w:tc>
          <w:tcPr>
            <w:tcW w:type="dxa" w:w="1738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FF3CD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6.3</w:t>
            </w:r>
          </w:p>
        </w:tc>
        <w:tc>
          <w:tcPr>
            <w:tcW w:type="dxa" w:w="1738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FF3CD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2.8</w:t>
            </w:r>
          </w:p>
        </w:tc>
        <w:tc>
          <w:tcPr>
            <w:tcW w:type="dxa" w:w="1738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FF3CD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9.1</w:t>
            </w:r>
          </w:p>
        </w:tc>
        <w:tc>
          <w:tcPr>
            <w:tcW w:type="dxa" w:w="1738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FF3CD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1.82</w:t>
            </w:r>
          </w:p>
        </w:tc>
      </w:tr>
      <w:tr>
        <w:tc>
          <w:tcPr>
            <w:tcW w:type="dxa" w:w="1738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Jun</w:t>
            </w:r>
          </w:p>
        </w:tc>
        <w:tc>
          <w:tcPr>
            <w:tcW w:type="dxa" w:w="1738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2F7FB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20</w:t>
            </w:r>
          </w:p>
        </w:tc>
        <w:tc>
          <w:tcPr>
            <w:tcW w:type="dxa" w:w="1738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2F7FB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10.3</w:t>
            </w:r>
          </w:p>
        </w:tc>
        <w:tc>
          <w:tcPr>
            <w:tcW w:type="dxa" w:w="1738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2F7FB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5.3</w:t>
            </w:r>
          </w:p>
        </w:tc>
        <w:tc>
          <w:tcPr>
            <w:tcW w:type="dxa" w:w="1738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2F7FB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15.6</w:t>
            </w:r>
          </w:p>
        </w:tc>
        <w:tc>
          <w:tcPr>
            <w:tcW w:type="dxa" w:w="1738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2F7FB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0.78</w:t>
            </w:r>
          </w:p>
        </w:tc>
      </w:tr>
      <w:tr>
        <w:tc>
          <w:tcPr>
            <w:tcW w:type="dxa" w:w="1738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FFF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Jul</w:t>
            </w:r>
          </w:p>
        </w:tc>
        <w:tc>
          <w:tcPr>
            <w:tcW w:type="dxa" w:w="1738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FFFFF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11</w:t>
            </w:r>
          </w:p>
        </w:tc>
        <w:tc>
          <w:tcPr>
            <w:tcW w:type="dxa" w:w="1738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FFFFF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6.9</w:t>
            </w:r>
          </w:p>
        </w:tc>
        <w:tc>
          <w:tcPr>
            <w:tcW w:type="dxa" w:w="1738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FFFFF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4.1</w:t>
            </w:r>
          </w:p>
        </w:tc>
        <w:tc>
          <w:tcPr>
            <w:tcW w:type="dxa" w:w="1738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FFFFF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11.0</w:t>
            </w:r>
          </w:p>
        </w:tc>
        <w:tc>
          <w:tcPr>
            <w:tcW w:type="dxa" w:w="1738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FFFFF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1.00</w:t>
            </w:r>
          </w:p>
        </w:tc>
      </w:tr>
      <w:tr>
        <w:tc>
          <w:tcPr>
            <w:tcW w:type="dxa" w:w="1738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Aug</w:t>
            </w:r>
          </w:p>
        </w:tc>
        <w:tc>
          <w:tcPr>
            <w:tcW w:type="dxa" w:w="1738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2F7FB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12</w:t>
            </w:r>
          </w:p>
        </w:tc>
        <w:tc>
          <w:tcPr>
            <w:tcW w:type="dxa" w:w="1738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2F7FB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9.2</w:t>
            </w:r>
          </w:p>
        </w:tc>
        <w:tc>
          <w:tcPr>
            <w:tcW w:type="dxa" w:w="1738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2F7FB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2.3</w:t>
            </w:r>
          </w:p>
        </w:tc>
        <w:tc>
          <w:tcPr>
            <w:tcW w:type="dxa" w:w="1738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2F7FB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11.5</w:t>
            </w:r>
          </w:p>
        </w:tc>
        <w:tc>
          <w:tcPr>
            <w:tcW w:type="dxa" w:w="1738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2F7FB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0.96</w:t>
            </w:r>
          </w:p>
        </w:tc>
      </w:tr>
      <w:tr>
        <w:tc>
          <w:tcPr>
            <w:tcW w:type="dxa" w:w="1738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FFF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Sep</w:t>
            </w:r>
          </w:p>
        </w:tc>
        <w:tc>
          <w:tcPr>
            <w:tcW w:type="dxa" w:w="1738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FFFFF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16</w:t>
            </w:r>
          </w:p>
        </w:tc>
        <w:tc>
          <w:tcPr>
            <w:tcW w:type="dxa" w:w="1738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FFFFF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10.3</w:t>
            </w:r>
          </w:p>
        </w:tc>
        <w:tc>
          <w:tcPr>
            <w:tcW w:type="dxa" w:w="1738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FFFFF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3.2</w:t>
            </w:r>
          </w:p>
        </w:tc>
        <w:tc>
          <w:tcPr>
            <w:tcW w:type="dxa" w:w="1738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FFFFF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13.5</w:t>
            </w:r>
          </w:p>
        </w:tc>
        <w:tc>
          <w:tcPr>
            <w:tcW w:type="dxa" w:w="1738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FFFFF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0.84</w:t>
            </w:r>
          </w:p>
        </w:tc>
      </w:tr>
      <w:tr>
        <w:tc>
          <w:tcPr>
            <w:tcW w:type="dxa" w:w="1738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FF3CD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Oct</w:t>
            </w:r>
          </w:p>
        </w:tc>
        <w:tc>
          <w:tcPr>
            <w:tcW w:type="dxa" w:w="1738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FF3CD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20</w:t>
            </w:r>
          </w:p>
        </w:tc>
        <w:tc>
          <w:tcPr>
            <w:tcW w:type="dxa" w:w="1738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FF3CD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10.7</w:t>
            </w:r>
          </w:p>
        </w:tc>
        <w:tc>
          <w:tcPr>
            <w:tcW w:type="dxa" w:w="1738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FF3CD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8.3</w:t>
            </w:r>
          </w:p>
        </w:tc>
        <w:tc>
          <w:tcPr>
            <w:tcW w:type="dxa" w:w="1738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FF3CD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19.0</w:t>
            </w:r>
          </w:p>
        </w:tc>
        <w:tc>
          <w:tcPr>
            <w:tcW w:type="dxa" w:w="1738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FF3CD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0.95</w:t>
            </w:r>
          </w:p>
        </w:tc>
      </w:tr>
      <w:tr>
        <w:tc>
          <w:tcPr>
            <w:tcW w:type="dxa" w:w="1738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FF3CD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Nov</w:t>
            </w:r>
          </w:p>
        </w:tc>
        <w:tc>
          <w:tcPr>
            <w:tcW w:type="dxa" w:w="1738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FF3CD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14</w:t>
            </w:r>
          </w:p>
        </w:tc>
        <w:tc>
          <w:tcPr>
            <w:tcW w:type="dxa" w:w="1738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FF3CD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13.2</w:t>
            </w:r>
          </w:p>
        </w:tc>
        <w:tc>
          <w:tcPr>
            <w:tcW w:type="dxa" w:w="1738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FF3CD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6.5</w:t>
            </w:r>
          </w:p>
        </w:tc>
        <w:tc>
          <w:tcPr>
            <w:tcW w:type="dxa" w:w="1738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FF3CD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19.7</w:t>
            </w:r>
          </w:p>
        </w:tc>
        <w:tc>
          <w:tcPr>
            <w:tcW w:type="dxa" w:w="1738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FF3CD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1.41</w:t>
            </w:r>
          </w:p>
        </w:tc>
      </w:tr>
      <w:tr>
        <w:tc>
          <w:tcPr>
            <w:tcW w:type="dxa" w:w="1738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Dec</w:t>
            </w:r>
          </w:p>
        </w:tc>
        <w:tc>
          <w:tcPr>
            <w:tcW w:type="dxa" w:w="1738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2F7FB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16</w:t>
            </w:r>
          </w:p>
        </w:tc>
        <w:tc>
          <w:tcPr>
            <w:tcW w:type="dxa" w:w="1738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2F7FB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10.2</w:t>
            </w:r>
          </w:p>
        </w:tc>
        <w:tc>
          <w:tcPr>
            <w:tcW w:type="dxa" w:w="1738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2F7FB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4.5</w:t>
            </w:r>
          </w:p>
        </w:tc>
        <w:tc>
          <w:tcPr>
            <w:tcW w:type="dxa" w:w="1738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2F7FB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14.7</w:t>
            </w:r>
          </w:p>
        </w:tc>
        <w:tc>
          <w:tcPr>
            <w:tcW w:type="dxa" w:w="1738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2F7FB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0.92</w:t>
            </w:r>
          </w:p>
        </w:tc>
      </w:tr>
    </w:tbl>
    <w:p>
      <w:pPr>
        <w:spacing w:before="160" w:after="80"/>
      </w:pPr>
      <w:r>
        <w:rPr>
          <w:b/>
          <w:color w:val="1F4E79"/>
          <w:sz w:val="22"/>
        </w:rPr>
        <w:t>Notable Trends</w:t>
      </w:r>
    </w:p>
    <w:p>
      <w:pPr>
        <w:pStyle w:val="ListBullet"/>
        <w:spacing w:after="40"/>
      </w:pPr>
      <w:r>
        <w:rPr>
          <w:rFonts w:ascii="Calibri" w:hAnsi="Calibri"/>
          <w:b/>
          <w:sz w:val="20"/>
        </w:rPr>
        <w:t>Seasonal pattern:</w:t>
      </w:r>
      <w:r>
        <w:rPr>
          <w:rFonts w:ascii="Calibri" w:hAnsi="Calibri"/>
          <w:sz w:val="20"/>
        </w:rPr>
        <w:t xml:space="preserve"> Q1 averaged 15.7 tickets/month, Q2 dipped (11/month), then Q3-Q4 rebounded to 14.6/month. May was the lightest month (5 tickets).</w:t>
      </w:r>
    </w:p>
    <w:p>
      <w:pPr>
        <w:pStyle w:val="ListBullet"/>
        <w:spacing w:after="40"/>
      </w:pPr>
      <w:r>
        <w:rPr>
          <w:rFonts w:ascii="Calibri" w:hAnsi="Calibri"/>
          <w:b/>
          <w:sz w:val="20"/>
        </w:rPr>
        <w:t>H2 volume increase:</w:t>
      </w:r>
      <w:r>
        <w:rPr>
          <w:rFonts w:ascii="Calibri" w:hAnsi="Calibri"/>
          <w:sz w:val="20"/>
        </w:rPr>
        <w:t xml:space="preserve"> H2 averaged 15.6 hours/month vs H1's 9.9 hours — a 58% increase. This reflects both more tickets and more complex work in the second half.</w:t>
      </w:r>
    </w:p>
    <w:p>
      <w:pPr>
        <w:pStyle w:val="ListBullet"/>
        <w:spacing w:after="40"/>
      </w:pPr>
      <w:r>
        <w:rPr>
          <w:rFonts w:ascii="Calibri" w:hAnsi="Calibri"/>
          <w:b/>
          <w:sz w:val="20"/>
        </w:rPr>
        <w:t>Contract cycle:</w:t>
      </w:r>
      <w:r>
        <w:rPr>
          <w:rFonts w:ascii="Calibri" w:hAnsi="Calibri"/>
          <w:sz w:val="20"/>
        </w:rPr>
        <w:t xml:space="preserve"> The contract stepped up in April (from ~$660 to ~$1,330/mo), likely in response to Q1 utilization data. It then stabilized around $1,000/mo. This confirms a 3-month adjustment cycle.</w:t>
      </w:r>
    </w:p>
    <w:p>
      <w:pPr>
        <w:pStyle w:val="ListBullet"/>
        <w:spacing w:after="40"/>
      </w:pPr>
      <w:r>
        <w:rPr>
          <w:rFonts w:ascii="Calibri" w:hAnsi="Calibri"/>
          <w:b/>
          <w:sz w:val="20"/>
        </w:rPr>
        <w:t>Rate optimization:</w:t>
      </w:r>
      <w:r>
        <w:rPr>
          <w:rFonts w:ascii="Calibri" w:hAnsi="Calibri"/>
          <w:sz w:val="20"/>
        </w:rPr>
        <w:t xml:space="preserve"> NH rate changed from $30 to $15/hr in November. This was offset by increased NH hours (5.5 vs ~2.5), keeping the NH cost stable while providing more monitoring hours.</w:t>
      </w:r>
    </w:p>
    <w:p>
      <w:pPr>
        <w:spacing w:before="160" w:after="80"/>
      </w:pPr>
      <w:r>
        <w:rPr>
          <w:b/>
          <w:color w:val="1F4E79"/>
          <w:sz w:val="22"/>
        </w:rPr>
        <w:t>Technician Utilization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347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1F4E79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Technician</w:t>
            </w:r>
          </w:p>
        </w:tc>
        <w:tc>
          <w:tcPr>
            <w:tcW w:type="dxa" w:w="347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1F4E79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Hours</w:t>
            </w:r>
          </w:p>
        </w:tc>
        <w:tc>
          <w:tcPr>
            <w:tcW w:type="dxa" w:w="347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1F4E79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Role</w:t>
            </w:r>
          </w:p>
        </w:tc>
      </w:tr>
      <w:tr>
        <w:tc>
          <w:tcPr>
            <w:tcW w:type="dxa" w:w="347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FFF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Sunny Sark</w:t>
            </w:r>
          </w:p>
        </w:tc>
        <w:tc>
          <w:tcPr>
            <w:tcW w:type="dxa" w:w="347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FFFFF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38.8</w:t>
            </w:r>
          </w:p>
        </w:tc>
        <w:tc>
          <w:tcPr>
            <w:tcW w:type="dxa" w:w="347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FFF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US Tech Support (primary)</w:t>
            </w:r>
          </w:p>
        </w:tc>
      </w:tr>
      <w:tr>
        <w:tc>
          <w:tcPr>
            <w:tcW w:type="dxa" w:w="347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Parveen Biswal</w:t>
            </w:r>
          </w:p>
        </w:tc>
        <w:tc>
          <w:tcPr>
            <w:tcW w:type="dxa" w:w="347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2F7FB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25.6</w:t>
            </w:r>
          </w:p>
        </w:tc>
        <w:tc>
          <w:tcPr>
            <w:tcW w:type="dxa" w:w="347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Offshore</w:t>
            </w:r>
          </w:p>
        </w:tc>
      </w:tr>
      <w:tr>
        <w:tc>
          <w:tcPr>
            <w:tcW w:type="dxa" w:w="347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FFF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Sanjeev Kumar</w:t>
            </w:r>
          </w:p>
        </w:tc>
        <w:tc>
          <w:tcPr>
            <w:tcW w:type="dxa" w:w="347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FFFFF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18.3</w:t>
            </w:r>
          </w:p>
        </w:tc>
        <w:tc>
          <w:tcPr>
            <w:tcW w:type="dxa" w:w="347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FFF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Offshore</w:t>
            </w:r>
          </w:p>
        </w:tc>
      </w:tr>
      <w:tr>
        <w:tc>
          <w:tcPr>
            <w:tcW w:type="dxa" w:w="347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Gurdeep Kumar</w:t>
            </w:r>
          </w:p>
        </w:tc>
        <w:tc>
          <w:tcPr>
            <w:tcW w:type="dxa" w:w="347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2F7FB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12.2</w:t>
            </w:r>
          </w:p>
        </w:tc>
        <w:tc>
          <w:tcPr>
            <w:tcW w:type="dxa" w:w="347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Offshore</w:t>
            </w:r>
          </w:p>
        </w:tc>
      </w:tr>
      <w:tr>
        <w:tc>
          <w:tcPr>
            <w:tcW w:type="dxa" w:w="347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FFF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Surinder Kumar</w:t>
            </w:r>
          </w:p>
        </w:tc>
        <w:tc>
          <w:tcPr>
            <w:tcW w:type="dxa" w:w="347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FFFFF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10.1</w:t>
            </w:r>
          </w:p>
        </w:tc>
        <w:tc>
          <w:tcPr>
            <w:tcW w:type="dxa" w:w="347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FFF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Offshore</w:t>
            </w:r>
          </w:p>
        </w:tc>
      </w:tr>
      <w:tr>
        <w:tc>
          <w:tcPr>
            <w:tcW w:type="dxa" w:w="347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Rahul Uniyal</w:t>
            </w:r>
          </w:p>
        </w:tc>
        <w:tc>
          <w:tcPr>
            <w:tcW w:type="dxa" w:w="347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2F7FB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7.9</w:t>
            </w:r>
          </w:p>
        </w:tc>
        <w:tc>
          <w:tcPr>
            <w:tcW w:type="dxa" w:w="347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Offshore</w:t>
            </w:r>
          </w:p>
        </w:tc>
      </w:tr>
      <w:tr>
        <w:tc>
          <w:tcPr>
            <w:tcW w:type="dxa" w:w="347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FFF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Abhishek Kumar Poddar</w:t>
            </w:r>
          </w:p>
        </w:tc>
        <w:tc>
          <w:tcPr>
            <w:tcW w:type="dxa" w:w="347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FFFFF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7.6</w:t>
            </w:r>
          </w:p>
        </w:tc>
        <w:tc>
          <w:tcPr>
            <w:tcW w:type="dxa" w:w="347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FFF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Offshore</w:t>
            </w:r>
          </w:p>
        </w:tc>
      </w:tr>
      <w:tr>
        <w:tc>
          <w:tcPr>
            <w:tcW w:type="dxa" w:w="347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Other (11 techs)</w:t>
            </w:r>
          </w:p>
        </w:tc>
        <w:tc>
          <w:tcPr>
            <w:tcW w:type="dxa" w:w="347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2F7FB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28.6</w:t>
            </w:r>
          </w:p>
        </w:tc>
        <w:tc>
          <w:tcPr>
            <w:tcW w:type="dxa" w:w="347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Various</w:t>
            </w:r>
          </w:p>
        </w:tc>
      </w:tr>
    </w:tbl>
    <w:p>
      <w:pPr>
        <w:spacing w:before="160" w:after="80"/>
      </w:pPr>
      <w:r>
        <w:rPr>
          <w:b/>
          <w:color w:val="1F4E79"/>
          <w:sz w:val="22"/>
        </w:rPr>
        <w:t>Recommendations</w:t>
      </w:r>
    </w:p>
    <w:p>
      <w:pPr>
        <w:pStyle w:val="ListBullet"/>
        <w:spacing w:after="40"/>
      </w:pPr>
      <w:r>
        <w:rPr>
          <w:rFonts w:ascii="Calibri" w:hAnsi="Calibri"/>
          <w:b/>
          <w:sz w:val="20"/>
        </w:rPr>
        <w:t>1. Optimize M365 workflows:</w:t>
      </w:r>
      <w:r>
        <w:rPr>
          <w:rFonts w:ascii="Calibri" w:hAnsi="Calibri"/>
          <w:sz w:val="20"/>
        </w:rPr>
        <w:t xml:space="preserve"> Email &amp; M365 consumes 46% of all hours. Evaluate recurring tasks for runbooks, automation, or scheduled admin sessions.</w:t>
      </w:r>
    </w:p>
    <w:p>
      <w:pPr>
        <w:pStyle w:val="ListBullet"/>
        <w:spacing w:after="40"/>
      </w:pPr>
      <w:r>
        <w:rPr>
          <w:rFonts w:ascii="Calibri" w:hAnsi="Calibri"/>
          <w:b/>
          <w:sz w:val="20"/>
        </w:rPr>
        <w:t>2. Increase proactive ratio:</w:t>
      </w:r>
      <w:r>
        <w:rPr>
          <w:rFonts w:ascii="Calibri" w:hAnsi="Calibri"/>
          <w:sz w:val="20"/>
        </w:rPr>
        <w:t xml:space="preserve"> At 35.5% proactive, there is room to grow. Target 45%+ through increased automated patching and monitoring coverage.</w:t>
      </w:r>
    </w:p>
    <w:p>
      <w:pPr>
        <w:pStyle w:val="ListBullet"/>
        <w:spacing w:after="40"/>
      </w:pPr>
      <w:r>
        <w:rPr>
          <w:rFonts w:ascii="Calibri" w:hAnsi="Calibri"/>
          <w:b/>
          <w:sz w:val="20"/>
        </w:rPr>
        <w:t>3. Simplify permission structures:</w:t>
      </w:r>
      <w:r>
        <w:rPr>
          <w:rFonts w:ascii="Calibri" w:hAnsi="Calibri"/>
          <w:sz w:val="20"/>
        </w:rPr>
        <w:t xml:space="preserve"> File &amp; Permissions averaged 3.14 hrs/ticket. Review permission structures to reduce resolution complexity.</w:t>
      </w:r>
    </w:p>
    <w:p>
      <w:pPr>
        <w:pStyle w:val="ListBullet"/>
        <w:spacing w:after="40"/>
      </w:pPr>
      <w:r>
        <w:rPr>
          <w:rFonts w:ascii="Calibri" w:hAnsi="Calibri"/>
          <w:b/>
          <w:sz w:val="20"/>
        </w:rPr>
        <w:t>4. Quarterly count reconciliation:</w:t>
      </w:r>
      <w:r>
        <w:rPr>
          <w:rFonts w:ascii="Calibri" w:hAnsi="Calibri"/>
          <w:sz w:val="20"/>
        </w:rPr>
        <w:t xml:space="preserve"> Reconcile service inventory quarterly to keep billing aligned with actual deployments.</w:t>
      </w:r>
    </w:p>
    <w:p>
      <w:r>
        <w:br w:type="page"/>
      </w:r>
    </w:p>
    <w:p>
      <w:pPr>
        <w:pStyle w:val="Heading1"/>
        <w:spacing w:before="240" w:after="120"/>
      </w:pPr>
      <w:r>
        <w:rPr>
          <w:b/>
          <w:color w:val="1F4E79"/>
          <w:sz w:val="32"/>
        </w:rPr>
        <w:t>Section 7: Executive Summary</w:t>
      </w:r>
    </w:p>
    <w:p>
      <w:pPr>
        <w:spacing w:after="80"/>
      </w:pPr>
      <w:r>
        <w:rPr>
          <w:rFonts w:ascii="Calibri" w:hAnsi="Calibri"/>
          <w:sz w:val="20"/>
        </w:rPr>
        <w:t>HHOC spent $12,192 on IT services in 2025, covering a lean managed environment of 8 desktops, 9 mailboxes, and 1 domain. The engagement is 100% remote.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213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1F4E79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Metric</w:t>
            </w:r>
          </w:p>
        </w:tc>
        <w:tc>
          <w:tcPr>
            <w:tcW w:type="dxa" w:w="5213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1F4E79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Value</w:t>
            </w:r>
          </w:p>
        </w:tc>
      </w:tr>
      <w:tr>
        <w:tc>
          <w:tcPr>
            <w:tcW w:type="dxa" w:w="5213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FFF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Total Annual Spend</w:t>
            </w:r>
          </w:p>
        </w:tc>
        <w:tc>
          <w:tcPr>
            <w:tcW w:type="dxa" w:w="5213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FFFFF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$12,192</w:t>
            </w:r>
          </w:p>
        </w:tc>
      </w:tr>
      <w:tr>
        <w:tc>
          <w:tcPr>
            <w:tcW w:type="dxa" w:w="5213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Monthly Run Rate (Dec)</w:t>
            </w:r>
          </w:p>
        </w:tc>
        <w:tc>
          <w:tcPr>
            <w:tcW w:type="dxa" w:w="5213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2F7FB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$1,004</w:t>
            </w:r>
          </w:p>
        </w:tc>
      </w:tr>
      <w:tr>
        <w:tc>
          <w:tcPr>
            <w:tcW w:type="dxa" w:w="5213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FFF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Per-User Annual Cost</w:t>
            </w:r>
          </w:p>
        </w:tc>
        <w:tc>
          <w:tcPr>
            <w:tcW w:type="dxa" w:w="5213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FFFFF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~$1,355 (9 users)</w:t>
            </w:r>
          </w:p>
        </w:tc>
      </w:tr>
      <w:tr>
        <w:tc>
          <w:tcPr>
            <w:tcW w:type="dxa" w:w="5213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Blended Labor Rate</w:t>
            </w:r>
          </w:p>
        </w:tc>
        <w:tc>
          <w:tcPr>
            <w:tcW w:type="dxa" w:w="5213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2F7FB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$48.42/hr</w:t>
            </w:r>
          </w:p>
        </w:tc>
      </w:tr>
      <w:tr>
        <w:tc>
          <w:tcPr>
            <w:tcW w:type="dxa" w:w="5213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FFF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Tickets Resolved</w:t>
            </w:r>
          </w:p>
        </w:tc>
        <w:tc>
          <w:tcPr>
            <w:tcW w:type="dxa" w:w="5213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FFFFF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169</w:t>
            </w:r>
          </w:p>
        </w:tc>
      </w:tr>
      <w:tr>
        <w:tc>
          <w:tcPr>
            <w:tcW w:type="dxa" w:w="5213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Proactive/Reactive Split</w:t>
            </w:r>
          </w:p>
        </w:tc>
        <w:tc>
          <w:tcPr>
            <w:tcW w:type="dxa" w:w="5213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2F7FB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35.5% / 64.5%</w:t>
            </w:r>
          </w:p>
        </w:tc>
      </w:tr>
      <w:tr>
        <w:tc>
          <w:tcPr>
            <w:tcW w:type="dxa" w:w="5213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FFF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Primary US Resource</w:t>
            </w:r>
          </w:p>
        </w:tc>
        <w:tc>
          <w:tcPr>
            <w:tcW w:type="dxa" w:w="5213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FFFFF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Sunny Sark (38.8 hrs)</w:t>
            </w:r>
          </w:p>
        </w:tc>
      </w:tr>
      <w:tr>
        <w:tc>
          <w:tcPr>
            <w:tcW w:type="dxa" w:w="5213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Top Category</w:t>
            </w:r>
          </w:p>
        </w:tc>
        <w:tc>
          <w:tcPr>
            <w:tcW w:type="dxa" w:w="5213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2F7FB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Email &amp; M365 (41.4% of tickets)</w:t>
            </w:r>
          </w:p>
        </w:tc>
      </w:tr>
    </w:tbl>
    <w:p>
      <w:pPr>
        <w:spacing w:before="160" w:after="80"/>
      </w:pPr>
      <w:r>
        <w:rPr>
          <w:b/>
          <w:color w:val="1F4E79"/>
          <w:sz w:val="22"/>
        </w:rPr>
        <w:t>Key Findings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  <w:t xml:space="preserve"> Clean billing — zero overage and zero one-time spend.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  <w:t xml:space="preserve"> Email &amp; M365 dominates the workload (70 tickets, 69.2 hours).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  <w:t xml:space="preserve"> Labor contract right-sized quarterly with a major step-up in April.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  <w:t xml:space="preserve"> NH rate optimized from $30 to $15/hr in November.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  <w:t xml:space="preserve"> 100% remote, 7-day coverage with 18 technicians available.</w:t>
      </w:r>
    </w:p>
    <w:p>
      <w:r>
        <w:br w:type="page"/>
      </w:r>
    </w:p>
    <w:p>
      <w:pPr>
        <w:pStyle w:val="Heading1"/>
        <w:spacing w:before="240" w:after="120"/>
      </w:pPr>
      <w:r>
        <w:rPr>
          <w:b/>
          <w:color w:val="1F4E79"/>
          <w:sz w:val="32"/>
        </w:rPr>
        <w:t>Section 8: 2026 Budget Projections</w:t>
      </w:r>
    </w:p>
    <w:p>
      <w:pPr>
        <w:spacing w:after="80"/>
      </w:pPr>
      <w:r>
        <w:rPr>
          <w:rFonts w:ascii="Calibri" w:hAnsi="Calibri"/>
          <w:sz w:val="20"/>
        </w:rPr>
        <w:t>Projections use the December 2025 run rate as baseline. HHOC operates on a 3-month labor contract cycle with quarterly adjustments.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2606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1F4E79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Category</w:t>
            </w:r>
          </w:p>
        </w:tc>
        <w:tc>
          <w:tcPr>
            <w:tcW w:type="dxa" w:w="2606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1F4E79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2025 Actual</w:t>
            </w:r>
          </w:p>
        </w:tc>
        <w:tc>
          <w:tcPr>
            <w:tcW w:type="dxa" w:w="2606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1F4E79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2026 Projected</w:t>
            </w:r>
          </w:p>
        </w:tc>
        <w:tc>
          <w:tcPr>
            <w:tcW w:type="dxa" w:w="2606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1F4E79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Change</w:t>
            </w:r>
          </w:p>
        </w:tc>
      </w:tr>
      <w:tr>
        <w:tc>
          <w:tcPr>
            <w:tcW w:type="dxa" w:w="2606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FFF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Monthly Contract</w:t>
            </w:r>
          </w:p>
        </w:tc>
        <w:tc>
          <w:tcPr>
            <w:tcW w:type="dxa" w:w="2606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FFFFF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$11,598</w:t>
            </w:r>
          </w:p>
        </w:tc>
        <w:tc>
          <w:tcPr>
            <w:tcW w:type="dxa" w:w="2606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FFFFF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$12,050</w:t>
            </w:r>
          </w:p>
        </w:tc>
        <w:tc>
          <w:tcPr>
            <w:tcW w:type="dxa" w:w="2606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FFFFF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+$452</w:t>
            </w:r>
          </w:p>
        </w:tc>
      </w:tr>
      <w:tr>
        <w:tc>
          <w:tcPr>
            <w:tcW w:type="dxa" w:w="2606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 xml:space="preserve">  Labor</w:t>
            </w:r>
          </w:p>
        </w:tc>
        <w:tc>
          <w:tcPr>
            <w:tcW w:type="dxa" w:w="2606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2F7FB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$8,231</w:t>
            </w:r>
          </w:p>
        </w:tc>
        <w:tc>
          <w:tcPr>
            <w:tcW w:type="dxa" w:w="2606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2F7FB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$8,376</w:t>
            </w:r>
          </w:p>
        </w:tc>
        <w:tc>
          <w:tcPr>
            <w:tcW w:type="dxa" w:w="2606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2F7FB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+$145</w:t>
            </w:r>
          </w:p>
        </w:tc>
      </w:tr>
      <w:tr>
        <w:tc>
          <w:tcPr>
            <w:tcW w:type="dxa" w:w="2606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FFF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 xml:space="preserve">  Managed Services</w:t>
            </w:r>
          </w:p>
        </w:tc>
        <w:tc>
          <w:tcPr>
            <w:tcW w:type="dxa" w:w="2606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FFFFF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$3,367</w:t>
            </w:r>
          </w:p>
        </w:tc>
        <w:tc>
          <w:tcPr>
            <w:tcW w:type="dxa" w:w="2606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FFFFF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$3,674</w:t>
            </w:r>
          </w:p>
        </w:tc>
        <w:tc>
          <w:tcPr>
            <w:tcW w:type="dxa" w:w="2606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FFFFF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+$307</w:t>
            </w:r>
          </w:p>
        </w:tc>
      </w:tr>
      <w:tr>
        <w:tc>
          <w:tcPr>
            <w:tcW w:type="dxa" w:w="2606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2F7F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Recurring (M365)</w:t>
            </w:r>
          </w:p>
        </w:tc>
        <w:tc>
          <w:tcPr>
            <w:tcW w:type="dxa" w:w="2606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2F7FB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$594</w:t>
            </w:r>
          </w:p>
        </w:tc>
        <w:tc>
          <w:tcPr>
            <w:tcW w:type="dxa" w:w="2606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2F7FB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$594</w:t>
            </w:r>
          </w:p>
        </w:tc>
        <w:tc>
          <w:tcPr>
            <w:tcW w:type="dxa" w:w="2606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2F7FB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$0</w:t>
            </w:r>
          </w:p>
        </w:tc>
      </w:tr>
      <w:tr>
        <w:tc>
          <w:tcPr>
            <w:tcW w:type="dxa" w:w="2606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FF3CD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One-Time / Hardware Budget</w:t>
            </w:r>
          </w:p>
        </w:tc>
        <w:tc>
          <w:tcPr>
            <w:tcW w:type="dxa" w:w="2606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FF3CD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$0</w:t>
            </w:r>
          </w:p>
        </w:tc>
        <w:tc>
          <w:tcPr>
            <w:tcW w:type="dxa" w:w="2606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FF3CD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$1,500</w:t>
            </w:r>
          </w:p>
        </w:tc>
        <w:tc>
          <w:tcPr>
            <w:tcW w:type="dxa" w:w="2606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FFF3CD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+$1,500</w:t>
            </w:r>
          </w:p>
        </w:tc>
      </w:tr>
      <w:tr>
        <w:tc>
          <w:tcPr>
            <w:tcW w:type="dxa" w:w="2606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1F4E79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PROJECTED TOTAL</w:t>
            </w:r>
          </w:p>
        </w:tc>
        <w:tc>
          <w:tcPr>
            <w:tcW w:type="dxa" w:w="2606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1F4E79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$12,192</w:t>
            </w:r>
          </w:p>
        </w:tc>
        <w:tc>
          <w:tcPr>
            <w:tcW w:type="dxa" w:w="2606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1F4E79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$14,144</w:t>
            </w:r>
          </w:p>
        </w:tc>
        <w:tc>
          <w:tcPr>
            <w:tcW w:type="dxa" w:w="2606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shd w:fill="1F4E79"/>
          </w:tcPr>
          <w:p>
            <w:pPr>
              <w:spacing w:before="20" w:after="20"/>
              <w:jc w:val="right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+$1,952</w:t>
            </w:r>
          </w:p>
        </w:tc>
      </w:tr>
    </w:tbl>
    <w:p>
      <w:pPr>
        <w:spacing w:before="160" w:after="80"/>
      </w:pPr>
      <w:r>
        <w:rPr>
          <w:b/>
          <w:color w:val="1F4E79"/>
          <w:sz w:val="22"/>
        </w:rPr>
        <w:t>Key Assumptions</w:t>
      </w:r>
    </w:p>
    <w:p>
      <w:pPr>
        <w:pStyle w:val="ListBullet"/>
        <w:spacing w:after="40"/>
      </w:pPr>
      <w:r>
        <w:rPr>
          <w:rFonts w:ascii="Calibri" w:hAnsi="Calibri"/>
          <w:b/>
          <w:sz w:val="20"/>
        </w:rPr>
        <w:t>Labor:</w:t>
      </w:r>
      <w:r>
        <w:rPr>
          <w:rFonts w:ascii="Calibri" w:hAnsi="Calibri"/>
          <w:sz w:val="20"/>
        </w:rPr>
        <w:t xml:space="preserve"> Labor stays at December 2025 rate ($698/mo = $8,376/yr). Quarterly adjustments may move this up or down.</w:t>
      </w:r>
    </w:p>
    <w:p>
      <w:pPr>
        <w:pStyle w:val="ListBullet"/>
        <w:spacing w:after="40"/>
      </w:pPr>
      <w:r>
        <w:rPr>
          <w:rFonts w:ascii="Calibri" w:hAnsi="Calibri"/>
          <w:b/>
          <w:sz w:val="20"/>
        </w:rPr>
        <w:t>Managed Services:</w:t>
      </w:r>
      <w:r>
        <w:rPr>
          <w:rFonts w:ascii="Calibri" w:hAnsi="Calibri"/>
          <w:sz w:val="20"/>
        </w:rPr>
        <w:t xml:space="preserve"> Projected at current December rate ($306/mo). Device-based services adjust monthly with actual counts.</w:t>
      </w:r>
    </w:p>
    <w:p>
      <w:pPr>
        <w:pStyle w:val="ListBullet"/>
        <w:spacing w:after="40"/>
      </w:pPr>
      <w:r>
        <w:rPr>
          <w:rFonts w:ascii="Calibri" w:hAnsi="Calibri"/>
          <w:b/>
          <w:sz w:val="20"/>
        </w:rPr>
        <w:t>Recurring:</w:t>
      </w:r>
      <w:r>
        <w:rPr>
          <w:rFonts w:ascii="Calibri" w:hAnsi="Calibri"/>
          <w:sz w:val="20"/>
        </w:rPr>
        <w:t xml:space="preserve"> M365 Non-Profit carried forward at current rate.</w:t>
      </w:r>
    </w:p>
    <w:p>
      <w:pPr>
        <w:pStyle w:val="ListBullet"/>
        <w:spacing w:after="40"/>
      </w:pPr>
      <w:r>
        <w:rPr>
          <w:rFonts w:ascii="Calibri" w:hAnsi="Calibri"/>
          <w:b/>
          <w:sz w:val="20"/>
        </w:rPr>
        <w:t>Hardware Budget:</w:t>
      </w:r>
      <w:r>
        <w:rPr>
          <w:rFonts w:ascii="Calibri" w:hAnsi="Calibri"/>
          <w:sz w:val="20"/>
        </w:rPr>
        <w:t xml:space="preserve"> $1,500 budgeted for potential desktop replacement or hardware refresh as the 8-device fleet ages.</w:t>
      </w:r>
    </w:p>
    <w:p>
      <w:pPr>
        <w:spacing w:after="80"/>
      </w:pPr>
      <w:r>
        <w:rPr>
          <w:rFonts w:ascii="Calibri" w:hAnsi="Calibri"/>
          <w:i/>
          <w:color w:val="666666"/>
          <w:sz w:val="18"/>
        </w:rPr>
        <w:t>The projected increase of $1,952 (+16%) is driven entirely by the recommended hardware reserve budget. Core monthly costs are expected to remain stable. If no hardware purchases are needed, 2026 total would be approximately $12,644 (+3.7%).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907" w:bottom="144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666666"/>
        <w:sz w:val="16"/>
      </w:rPr>
      <w:t>Technijian Inc. — Confidential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Calibri" w:hAnsi="Calibri"/>
        <w:color w:val="666666"/>
        <w:sz w:val="16"/>
      </w:rPr>
      <w:t>HHOC (Housing for Health OC) — 2025 IT Support Review &amp; 2026 Planning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