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HHOC (Housing for Health OC)</w:t>
      </w:r>
    </w:p>
    <w:p>
      <w:pPr>
        <w:jc w:val="center"/>
      </w:pPr>
      <w:r>
        <w:rPr>
          <w:color w:val="2E75B6"/>
          <w:sz w:val="40"/>
        </w:rPr>
        <w:t>2026 Q1 IT Support Review</w:t>
      </w:r>
    </w:p>
    <w:p>
      <w:pPr>
        <w:jc w:val="center"/>
      </w:pPr>
      <w:r>
        <w:rPr>
          <w:color w:val="2E75B6"/>
          <w:sz w:val="40"/>
        </w:rPr>
        <w:t>(January – March 2026)</w:t>
      </w:r>
    </w:p>
    <w:p/>
    <w:p>
      <w:pPr>
        <w:jc w:val="center"/>
      </w:pPr>
      <w:r>
        <w:rPr>
          <w:color w:val="666666"/>
          <w:sz w:val="24"/>
        </w:rPr>
        <w:t>Prepared by Technijian Inc.  —  March 2026</w:t>
      </w:r>
    </w:p>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Q1 2026 At a Glance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2026</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Q Avg</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Change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Unique Tickets</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54</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42</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+28%</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Total Hours</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69.0</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37.3</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+85%</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Hours/Ticket</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1.28</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0.88</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+45%</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US Tech Support Hours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26.4</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10.6</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+149%</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Proactive %</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13.0%</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35.5%</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-22.5pp</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Email &amp; M365 % of Hours</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67.4%</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46.4%</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+21.0pp</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Estimated Labor Cost*</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~$5,286</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~$2,058/q</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+157%</w:t>
            </w:r>
          </w:p>
        </w:tc>
      </w:tr>
    </w:tbl>
    <w:p>
      <w:r>
        <w:rPr>
          <w:rFonts w:ascii="Calibri" w:hAnsi="Calibri"/>
          <w:i/>
          <w:color w:val="666666"/>
          <w:sz w:val="18"/>
        </w:rPr>
        <w:t>* Estimated using Dec 2025 rates: US Tech $150/hr, Offshore AH $45/hr, Offshore NH $15/hr.</w:t>
      </w:r>
    </w:p>
    <w:p>
      <w:r>
        <w:br w:type="page"/>
      </w:r>
    </w:p>
    <w:p>
      <w:pPr>
        <w:pStyle w:val="Heading1"/>
      </w:pPr>
      <w:r>
        <w:rPr>
          <w:b/>
          <w:color w:val="1F4E79"/>
          <w:sz w:val="32"/>
        </w:rPr>
        <w:t>Section 1: Q1 Overview — Key Concerns</w:t>
      </w:r>
    </w:p>
    <w:p>
      <w:pPr>
        <w:spacing w:after="80"/>
      </w:pPr>
      <w:r>
        <w:rPr>
          <w:rFonts w:ascii="Calibri" w:hAnsi="Calibri"/>
          <w:sz w:val="20"/>
        </w:rPr>
        <w:t>Q1 2026 shows significant changes from 2025 patterns. Total hours nearly doubled compared to the 2025 quarterly average (69.0 vs 37.3), driven primarily by complex Email &amp; M365 work. The proactive/reactive balance shifted dramatically toward reactive (87% vs 65% in 2025).</w:t>
      </w:r>
    </w:p>
    <w:p>
      <w:pPr>
        <w:pStyle w:val="Heading2"/>
      </w:pPr>
      <w:r>
        <w:rPr>
          <w:b/>
          <w:color w:val="1F4E79"/>
          <w:sz w:val="26"/>
        </w:rPr>
        <w:t>1.1 Estimated Financial Impact</w:t>
      </w:r>
    </w:p>
    <w:p>
      <w:pPr>
        <w:spacing w:after="80"/>
      </w:pPr>
      <w:r>
        <w:rPr>
          <w:rFonts w:ascii="Calibri" w:hAnsi="Calibri"/>
          <w:sz w:val="20"/>
        </w:rPr>
        <w:t>Using December 2025 contracted rates: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Role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Hours</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Rate</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Est. Cost</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US Tech Support (NH)</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26.4</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$150/hr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$3,960</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Offshore AH (US Daytime)</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21.2</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$45/hr</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$954</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Offshore NH (US Overnight)</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21.4</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$15/hr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$321</w:t>
            </w:r>
          </w:p>
        </w:tc>
      </w:tr>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Q1 TOTAL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69.0</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$5,235</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Annualized</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$20,940</w:t>
            </w:r>
          </w:p>
        </w:tc>
      </w:tr>
    </w:tbl>
    <w:p>
      <w:r>
        <w:rPr>
          <w:rFonts w:ascii="Calibri" w:hAnsi="Calibri"/>
          <w:i/>
          <w:color w:val="666666"/>
          <w:sz w:val="18"/>
        </w:rPr>
        <w:t>If Q1 consumption continues, annualized labor alone would be ~$20,940 vs $8,231 actual in 2025 — a 154% increase. The contracted allotment will need review at the next quarterly adjustment.</w:t>
      </w:r>
    </w:p>
    <w:p>
      <w:pPr>
        <w:pStyle w:val="Heading2"/>
      </w:pPr>
      <w:r>
        <w:rPr>
          <w:b/>
          <w:color w:val="1F4E79"/>
          <w:sz w:val="26"/>
        </w:rPr>
        <w:t>1.2 Monthly Volume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Month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NH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AH</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Total</w:t>
            </w:r>
          </w:p>
        </w:tc>
        <w:tc>
          <w:tcPr>
            <w:tcW w:type="dxa" w:w="1738"/>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Hrs/Tkt</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Jan 2026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19.9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7.2</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27.1</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1.43</w:t>
            </w:r>
          </w:p>
        </w:tc>
      </w:tr>
      <w:tr>
        <w:tc>
          <w:tcPr>
            <w:tcW w:type="dxa" w:w="1738"/>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Feb 2026</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15</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16.8</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6.3</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23.1</w:t>
            </w:r>
          </w:p>
        </w:tc>
        <w:tc>
          <w:tcPr>
            <w:tcW w:type="dxa" w:w="1738"/>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1.54</w:t>
            </w:r>
          </w:p>
        </w:tc>
      </w:tr>
      <w:tr>
        <w:tc>
          <w:tcPr>
            <w:tcW w:type="dxa" w:w="1738"/>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Mar 2026</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20</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11.1</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7.7</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18.9</w:t>
            </w:r>
          </w:p>
        </w:tc>
        <w:tc>
          <w:tcPr>
            <w:tcW w:type="dxa" w:w="1738"/>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0.94</w:t>
            </w:r>
          </w:p>
        </w:tc>
      </w:tr>
    </w:tbl>
    <w:p>
      <w:pPr>
        <w:spacing w:after="80"/>
      </w:pPr>
      <w:r>
        <w:rPr>
          <w:rFonts w:ascii="Calibri" w:hAnsi="Calibri"/>
          <w:sz w:val="20"/>
        </w:rPr>
        <w:t>Hours/ticket started very high (1.43-1.54 in Jan-Feb) and normalized in March (0.94, close to 2025 avg of 0.88). This suggests a burst of complex work early in Q1 that is starting to stabilize.</w:t>
      </w:r>
    </w:p>
    <w:p>
      <w:r>
        <w:br w:type="page"/>
      </w:r>
    </w:p>
    <w:p>
      <w:pPr>
        <w:pStyle w:val="Heading1"/>
      </w:pPr>
      <w:r>
        <w:rPr>
          <w:b/>
          <w:color w:val="1F4E79"/>
          <w:sz w:val="32"/>
        </w:rPr>
        <w:t>Section 2: Ticket Categorization — Email &amp; M365 Deep Dive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Category</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Type</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Tickets</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Hours</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Avg Hrs</w:t>
            </w:r>
          </w:p>
        </w:tc>
      </w:tr>
      <w:tr>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Email &amp; M365</w:t>
            </w:r>
          </w:p>
        </w:tc>
        <w:tc>
          <w:tcPr>
            <w:tcW w:type="dxa" w:w="2085"/>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22</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46.5</w:t>
            </w:r>
          </w:p>
        </w:tc>
        <w:tc>
          <w:tcPr>
            <w:tcW w:type="dxa" w:w="2085"/>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2.11</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General IT Support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9</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3.8</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0.42</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Management</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Proactive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3.0</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0.59</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Firewall &amp; Network</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0.75</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File &amp; Permissions</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3</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0.58</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Password &amp; Account Mgmt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0.50</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Software Install &amp; Updates</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1.8</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0.88</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Security &amp; Endpoint</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Proactive</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0.72</w:t>
            </w:r>
          </w:p>
        </w:tc>
      </w:tr>
      <w:tr>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Phone / VoIP</w:t>
            </w:r>
          </w:p>
        </w:tc>
        <w:tc>
          <w:tcPr>
            <w:tcW w:type="dxa" w:w="2085"/>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Reactive</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1.6</w:t>
            </w:r>
          </w:p>
        </w:tc>
        <w:tc>
          <w:tcPr>
            <w:tcW w:type="dxa" w:w="2085"/>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0.78</w:t>
            </w:r>
          </w:p>
        </w:tc>
      </w:tr>
      <w:tr>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Other (App, Onboard, HW, Server)</w:t>
            </w:r>
          </w:p>
        </w:tc>
        <w:tc>
          <w:tcPr>
            <w:tcW w:type="dxa" w:w="2085"/>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Mixed</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4</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6.0</w:t>
            </w:r>
          </w:p>
        </w:tc>
        <w:tc>
          <w:tcPr>
            <w:tcW w:type="dxa" w:w="2085"/>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1.50</w:t>
            </w:r>
          </w:p>
        </w:tc>
      </w:tr>
      <w:tr>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TOTAL</w:t>
            </w:r>
          </w:p>
        </w:tc>
        <w:tc>
          <w:tcPr>
            <w:tcW w:type="dxa" w:w="2085"/>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54</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69.0</w:t>
            </w:r>
          </w:p>
        </w:tc>
        <w:tc>
          <w:tcPr>
            <w:tcW w:type="dxa" w:w="2085"/>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1.28</w:t>
            </w:r>
          </w:p>
        </w:tc>
      </w:tr>
    </w:tbl>
    <w:p>
      <w:r>
        <w:rPr>
          <w:b/>
          <w:color w:val="1F4E79"/>
          <w:sz w:val="22"/>
        </w:rPr>
        <w:t>Critical Finding: Email &amp; M365</w:t>
      </w:r>
    </w:p>
    <w:p>
      <w:pPr>
        <w:spacing w:after="80"/>
      </w:pPr>
      <w:r>
        <w:rPr>
          <w:rFonts w:ascii="Calibri" w:hAnsi="Calibri"/>
          <w:sz w:val="20"/>
        </w:rPr>
        <w:t>Email &amp; M365 consumed 46.5 hours across 22 tickets — 67.4% of all Q1 hours. The average hours/ticket jumped from 0.99 in 2025 to 2.11 in Q1 2026, indicating significantly more complex issues, not just more volume.</w:t>
      </w:r>
    </w:p>
    <w:p>
      <w:pPr>
        <w:spacing w:after="80"/>
      </w:pPr>
      <w:r>
        <w:rPr>
          <w:rFonts w:ascii="Calibri" w:hAnsi="Calibri"/>
          <w:sz w:val="20"/>
        </w:rPr>
        <w:t>At the US Tech Support rate of $150/hr, Email &amp; M365 work alone may be consuming ~$3,000-4,000 per quarter in labor, exceeding the total 2025 quarterly labor spend.</w:t>
      </w:r>
    </w:p>
    <w:p>
      <w:r>
        <w:rPr>
          <w:b/>
          <w:color w:val="1F4E79"/>
          <w:sz w:val="22"/>
        </w:rPr>
        <w:t>Proactive Work Collapse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Metric</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Full Year</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2026</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Concern</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Proactive Tickets</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60 (35.5%)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 (13.0%)</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Down 22.5pp</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Patch Mgmt Tickets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17</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On pace for 20 (ok)</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Monitoring Tickets</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10</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Missing entirely</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RMM Tickets</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13</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Missing entirely</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Backup Tickets</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7</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Missing entirely</w:t>
            </w:r>
          </w:p>
        </w:tc>
      </w:tr>
    </w:tbl>
    <w:p>
      <w:pPr>
        <w:spacing w:after="80"/>
      </w:pPr>
      <w:r>
        <w:rPr>
          <w:rFonts w:ascii="Calibri" w:hAnsi="Calibri"/>
          <w:sz w:val="20"/>
        </w:rPr>
        <w:t>Monitoring, RMM, and Backup generated zero tickets in Q1. This could mean these systems are running smoothly, or it could indicate reduced oversight during the staffing transition. Verification is recommended.</w:t>
      </w:r>
    </w:p>
    <w:p>
      <w:r>
        <w:br w:type="page"/>
      </w:r>
    </w:p>
    <w:p>
      <w:pPr>
        <w:pStyle w:val="Heading1"/>
      </w:pPr>
      <w:r>
        <w:rPr>
          <w:b/>
          <w:color w:val="1F4E79"/>
          <w:sz w:val="32"/>
        </w:rPr>
        <w:t>Section 3: Staffing Transition</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Technician</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2026 Hrs</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2025 Hrs</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Notes</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Rishad Mohamed</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19.6</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New primary US Tech</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Deepak Bhardwaj</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16.7</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New offshore lead</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Surinder Kumar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7.7</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10.1</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Continuing</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Sai Revanth</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6.8</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3.0</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Increased role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Gurdeep Kumar</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4.2</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12.2</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Reduced</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Other (6 techs)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14.0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Various</w:t>
            </w:r>
          </w:p>
        </w:tc>
      </w:tr>
      <w:tr>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Sunny Sark</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0</w:t>
            </w:r>
          </w:p>
        </w:tc>
        <w:tc>
          <w:tcPr>
            <w:tcW w:type="dxa" w:w="2606"/>
            <w:tcBorders>
              <w:top w:val="single" w:sz="4" w:color="D0D0D0"/>
              <w:left w:val="single" w:sz="4" w:color="D0D0D0"/>
              <w:bottom w:val="single" w:sz="4" w:color="D0D0D0"/>
              <w:right w:val="single" w:sz="4" w:color="D0D0D0"/>
            </w:tcBorders>
            <w:shd w:fill="FFF3CD"/>
          </w:tcPr>
          <w:p>
            <w:pPr>
              <w:spacing w:before="20" w:after="20"/>
              <w:jc w:val="right"/>
            </w:pPr>
            <w:r/>
            <w:r>
              <w:rPr>
                <w:rFonts w:ascii="Calibri" w:hAnsi="Calibri"/>
                <w:b w:val="0"/>
                <w:color w:val="000000"/>
                <w:sz w:val="17"/>
              </w:rPr>
              <w:t>38.8</w:t>
            </w:r>
          </w:p>
        </w:tc>
        <w:tc>
          <w:tcPr>
            <w:tcW w:type="dxa" w:w="2606"/>
            <w:tcBorders>
              <w:top w:val="single" w:sz="4" w:color="D0D0D0"/>
              <w:left w:val="single" w:sz="4" w:color="D0D0D0"/>
              <w:bottom w:val="single" w:sz="4" w:color="D0D0D0"/>
              <w:right w:val="single" w:sz="4" w:color="D0D0D0"/>
            </w:tcBorders>
            <w:shd w:fill="FFF3CD"/>
          </w:tcPr>
          <w:p>
            <w:pPr>
              <w:spacing w:before="20" w:after="20"/>
              <w:jc w:val="left"/>
            </w:pPr>
            <w:r/>
            <w:r>
              <w:rPr>
                <w:rFonts w:ascii="Calibri" w:hAnsi="Calibri"/>
                <w:b w:val="0"/>
                <w:color w:val="000000"/>
                <w:sz w:val="17"/>
              </w:rPr>
              <w:t>No longer assigned</w:t>
            </w:r>
          </w:p>
        </w:tc>
      </w:tr>
    </w:tbl>
    <w:p>
      <w:pPr>
        <w:spacing w:after="80"/>
      </w:pPr>
      <w:r>
        <w:rPr>
          <w:rFonts w:ascii="Calibri" w:hAnsi="Calibri"/>
          <w:sz w:val="20"/>
        </w:rPr>
        <w:t>Sunny Sark (2025 primary US Tech, 38.8 hrs) is no longer assigned to HHOC. Rishad Mohamed (19.6 hrs) has taken over as primary US resource, with Deepak Bhardwaj (16.7 hrs) as the new offshore lead.</w:t>
      </w:r>
    </w:p>
    <w:p>
      <w:pPr>
        <w:spacing w:after="80"/>
      </w:pPr>
      <w:r>
        <w:rPr>
          <w:rFonts w:ascii="Calibri" w:hAnsi="Calibri"/>
          <w:sz w:val="20"/>
        </w:rPr>
        <w:t>US Tech Support hours increased as a percentage (38.3% in Q1 vs 28.4% in 2025). All Q1 entries are under the 'Monthly Service with India-Night' contract (vs 83.4% on standard 'Monthly Service' in 2025), indicating the contract structure has consolidated.</w:t>
      </w:r>
    </w:p>
    <w:p>
      <w:r>
        <w:br w:type="page"/>
      </w:r>
    </w:p>
    <w:p>
      <w:pPr>
        <w:pStyle w:val="Heading1"/>
      </w:pPr>
      <w:r>
        <w:rPr>
          <w:b/>
          <w:color w:val="1F4E79"/>
          <w:sz w:val="32"/>
        </w:rPr>
        <w:t>Section 4: Recommendations &amp; Q2 Action Items</w:t>
      </w:r>
    </w:p>
    <w:p>
      <w:pPr>
        <w:pStyle w:val="Heading2"/>
      </w:pPr>
      <w:r>
        <w:rPr>
          <w:b/>
          <w:color w:val="1F4E79"/>
          <w:sz w:val="26"/>
        </w:rPr>
        <w:t>Immediate Actions</w:t>
      </w:r>
    </w:p>
    <w:p>
      <w:pPr>
        <w:pStyle w:val="ListBullet"/>
        <w:spacing w:after="40"/>
      </w:pPr>
      <w:r>
        <w:rPr>
          <w:rFonts w:ascii="Calibri" w:hAnsi="Calibri"/>
          <w:b/>
          <w:sz w:val="20"/>
        </w:rPr>
        <w:t>1. Audit Email &amp; M365 drivers:</w:t>
      </w:r>
      <w:r>
        <w:rPr>
          <w:rFonts w:ascii="Calibri" w:hAnsi="Calibri"/>
          <w:sz w:val="20"/>
        </w:rPr>
        <w:t xml:space="preserve"> Review the 22 Email &amp; M365 tickets to identify root causes. The 2.11 hrs/ticket avg suggests complex projects or systemic M365 issues. Consider a dedicated M365 optimization engagement.</w:t>
      </w:r>
    </w:p>
    <w:p>
      <w:pPr>
        <w:pStyle w:val="ListBullet"/>
        <w:spacing w:after="40"/>
      </w:pPr>
      <w:r>
        <w:rPr>
          <w:rFonts w:ascii="Calibri" w:hAnsi="Calibri"/>
          <w:b/>
          <w:sz w:val="20"/>
        </w:rPr>
        <w:t>2. Restore proactive maintenance:</w:t>
      </w:r>
      <w:r>
        <w:rPr>
          <w:rFonts w:ascii="Calibri" w:hAnsi="Calibri"/>
          <w:sz w:val="20"/>
        </w:rPr>
        <w:t xml:space="preserve"> Verify that patching, monitoring, RMM, and backup routines are still running. Zero tickets in these categories may indicate reduced oversight rather than perfect health.</w:t>
      </w:r>
    </w:p>
    <w:p>
      <w:pPr>
        <w:pStyle w:val="ListBullet"/>
        <w:spacing w:after="40"/>
      </w:pPr>
      <w:r>
        <w:rPr>
          <w:rFonts w:ascii="Calibri" w:hAnsi="Calibri"/>
          <w:b/>
          <w:sz w:val="20"/>
        </w:rPr>
        <w:t>3. Validate staffing transition:</w:t>
      </w:r>
      <w:r>
        <w:rPr>
          <w:rFonts w:ascii="Calibri" w:hAnsi="Calibri"/>
          <w:sz w:val="20"/>
        </w:rPr>
        <w:t xml:space="preserve"> Ensure Rishad Mohamed and Deepak Bhardwaj have full HHOC environment context. Complete knowledge transfer from prior team.</w:t>
      </w:r>
    </w:p>
    <w:p>
      <w:pPr>
        <w:pStyle w:val="ListBullet"/>
        <w:spacing w:after="40"/>
      </w:pPr>
      <w:r>
        <w:rPr>
          <w:rFonts w:ascii="Calibri" w:hAnsi="Calibri"/>
          <w:b/>
          <w:sz w:val="20"/>
        </w:rPr>
        <w:t>4. Review labor allotment:</w:t>
      </w:r>
      <w:r>
        <w:rPr>
          <w:rFonts w:ascii="Calibri" w:hAnsi="Calibri"/>
          <w:sz w:val="20"/>
        </w:rPr>
        <w:t xml:space="preserve"> At Q1 run rate, labor spend is tracking 154% above 2025. Review the contracted allotment at the next quarterly adjustment.</w:t>
      </w:r>
    </w:p>
    <w:p>
      <w:pPr>
        <w:pStyle w:val="Heading2"/>
      </w:pPr>
      <w:r>
        <w:rPr>
          <w:b/>
          <w:color w:val="1F4E79"/>
          <w:sz w:val="26"/>
        </w:rPr>
        <w:t>Q2 Monitoring Targets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Metric</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Q1 Actual</w:t>
            </w:r>
          </w:p>
        </w:tc>
        <w:tc>
          <w:tcPr>
            <w:tcW w:type="dxa" w:w="2606"/>
            <w:tcBorders>
              <w:top w:val="single" w:sz="4" w:color="D0D0D0"/>
              <w:left w:val="single" w:sz="4" w:color="D0D0D0"/>
              <w:bottom w:val="single" w:sz="4" w:color="D0D0D0"/>
              <w:right w:val="single" w:sz="4" w:color="D0D0D0"/>
            </w:tcBorders>
            <w:shd w:fill="1F4E79"/>
          </w:tcPr>
          <w:p>
            <w:pPr>
              <w:spacing w:before="20" w:after="20"/>
              <w:jc w:val="right"/>
            </w:pPr>
            <w:r/>
            <w:r>
              <w:rPr>
                <w:rFonts w:ascii="Calibri" w:hAnsi="Calibri"/>
                <w:b/>
                <w:color w:val="FFFFFF"/>
                <w:sz w:val="17"/>
              </w:rPr>
              <w:t>Q2 Target</w:t>
            </w:r>
          </w:p>
        </w:tc>
        <w:tc>
          <w:tcPr>
            <w:tcW w:type="dxa" w:w="2606"/>
            <w:tcBorders>
              <w:top w:val="single" w:sz="4" w:color="D0D0D0"/>
              <w:left w:val="single" w:sz="4" w:color="D0D0D0"/>
              <w:bottom w:val="single" w:sz="4" w:color="D0D0D0"/>
              <w:right w:val="single" w:sz="4" w:color="D0D0D0"/>
            </w:tcBorders>
            <w:shd w:fill="1F4E79"/>
          </w:tcPr>
          <w:p>
            <w:pPr>
              <w:spacing w:before="20" w:after="20"/>
              <w:jc w:val="left"/>
            </w:pPr>
            <w:r/>
            <w:r>
              <w:rPr>
                <w:rFonts w:ascii="Calibri" w:hAnsi="Calibri"/>
                <w:b/>
                <w:color w:val="FFFFFF"/>
                <w:sz w:val="17"/>
              </w:rPr>
              <w:t>Rationale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Email &amp; M365 hrs/ticket</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2.11</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&lt; 1.5</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Reduce complexity</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Proactive ratio</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13.0%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&gt; 25%</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Restore maintenance</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Patch Mgmt tickets</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8+</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Ensure coverage</w:t>
            </w:r>
          </w:p>
        </w:tc>
      </w:tr>
      <w:tr>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Total quarterly hours</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69.0</w:t>
            </w:r>
          </w:p>
        </w:tc>
        <w:tc>
          <w:tcPr>
            <w:tcW w:type="dxa" w:w="2606"/>
            <w:tcBorders>
              <w:top w:val="single" w:sz="4" w:color="D0D0D0"/>
              <w:left w:val="single" w:sz="4" w:color="D0D0D0"/>
              <w:bottom w:val="single" w:sz="4" w:color="D0D0D0"/>
              <w:right w:val="single" w:sz="4" w:color="D0D0D0"/>
            </w:tcBorders>
            <w:shd w:fill="F2F7FB"/>
          </w:tcPr>
          <w:p>
            <w:pPr>
              <w:spacing w:before="20" w:after="20"/>
              <w:jc w:val="right"/>
            </w:pPr>
            <w:r/>
            <w:r>
              <w:rPr>
                <w:rFonts w:ascii="Calibri" w:hAnsi="Calibri"/>
                <w:b w:val="0"/>
                <w:color w:val="000000"/>
                <w:sz w:val="17"/>
              </w:rPr>
              <w:t>&lt; 50</w:t>
            </w:r>
          </w:p>
        </w:tc>
        <w:tc>
          <w:tcPr>
            <w:tcW w:type="dxa" w:w="2606"/>
            <w:tcBorders>
              <w:top w:val="single" w:sz="4" w:color="D0D0D0"/>
              <w:left w:val="single" w:sz="4" w:color="D0D0D0"/>
              <w:bottom w:val="single" w:sz="4" w:color="D0D0D0"/>
              <w:right w:val="single" w:sz="4" w:color="D0D0D0"/>
            </w:tcBorders>
            <w:shd w:fill="F2F7FB"/>
          </w:tcPr>
          <w:p>
            <w:pPr>
              <w:spacing w:before="20" w:after="20"/>
              <w:jc w:val="left"/>
            </w:pPr>
            <w:r/>
            <w:r>
              <w:rPr>
                <w:rFonts w:ascii="Calibri" w:hAnsi="Calibri"/>
                <w:b w:val="0"/>
                <w:color w:val="000000"/>
                <w:sz w:val="17"/>
              </w:rPr>
              <w:t>Normalize to 2025 levels</w:t>
            </w:r>
          </w:p>
        </w:tc>
      </w:tr>
      <w:tr>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Total quarterly est. cost</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~$5,235</w:t>
            </w:r>
          </w:p>
        </w:tc>
        <w:tc>
          <w:tcPr>
            <w:tcW w:type="dxa" w:w="2606"/>
            <w:tcBorders>
              <w:top w:val="single" w:sz="4" w:color="D0D0D0"/>
              <w:left w:val="single" w:sz="4" w:color="D0D0D0"/>
              <w:bottom w:val="single" w:sz="4" w:color="D0D0D0"/>
              <w:right w:val="single" w:sz="4" w:color="D0D0D0"/>
            </w:tcBorders>
            <w:shd w:fill="FFFFFF"/>
          </w:tcPr>
          <w:p>
            <w:pPr>
              <w:spacing w:before="20" w:after="20"/>
              <w:jc w:val="right"/>
            </w:pPr>
            <w:r/>
            <w:r>
              <w:rPr>
                <w:rFonts w:ascii="Calibri" w:hAnsi="Calibri"/>
                <w:b w:val="0"/>
                <w:color w:val="000000"/>
                <w:sz w:val="17"/>
              </w:rPr>
              <w:t>&lt; $3,500</w:t>
            </w:r>
          </w:p>
        </w:tc>
        <w:tc>
          <w:tcPr>
            <w:tcW w:type="dxa" w:w="2606"/>
            <w:tcBorders>
              <w:top w:val="single" w:sz="4" w:color="D0D0D0"/>
              <w:left w:val="single" w:sz="4" w:color="D0D0D0"/>
              <w:bottom w:val="single" w:sz="4" w:color="D0D0D0"/>
              <w:right w:val="single" w:sz="4" w:color="D0D0D0"/>
            </w:tcBorders>
            <w:shd w:fill="FFFFFF"/>
          </w:tcPr>
          <w:p>
            <w:pPr>
              <w:spacing w:before="20" w:after="20"/>
              <w:jc w:val="left"/>
            </w:pPr>
            <w:r/>
            <w:r>
              <w:rPr>
                <w:rFonts w:ascii="Calibri" w:hAnsi="Calibri"/>
                <w:b w:val="0"/>
                <w:color w:val="000000"/>
                <w:sz w:val="17"/>
              </w:rPr>
              <w:t>Align with budget</w:t>
            </w:r>
          </w:p>
        </w:tc>
      </w:tr>
    </w:tbl>
    <w:p>
      <w:r>
        <w:rPr>
          <w:rFonts w:ascii="Calibri" w:hAnsi="Calibri"/>
          <w:i/>
          <w:color w:val="666666"/>
          <w:sz w:val="18"/>
        </w:rPr>
        <w:t>March 2026 showed encouraging normalization (0.94 hrs/ticket vs 1.43-1.54 in Jan-Feb). If this trend continues, Q2 should approach these targets. However, if Email &amp; M365 complexity persists, a dedicated M365 health check engagement is recommended.</w:t>
      </w:r>
    </w:p>
    <w:sectPr w:rsidR="00FC693F" w:rsidRPr="0006063C" w:rsidSect="00034616">
      <w:headerReference w:type="default" r:id="rId9"/>
      <w:footerReference w:type="default" r:id="rId10"/>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Technijian Inc.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HHOC (Housing for Health OC) — 2026 Q1 IT Support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