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60"/>
      </w:tblGrid>
      <w:tr w:rsidR="009A2986" w14:paraId="54EBD535" w14:textId="77777777">
        <w:tc>
          <w:tcPr>
            <w:tcW w:w="9360" w:type="dxa"/>
            <w:tcBorders>
              <w:top w:val="nil"/>
              <w:left w:val="nil"/>
              <w:bottom w:val="nil"/>
              <w:right w:val="nil"/>
            </w:tcBorders>
            <w:shd w:val="clear" w:color="auto" w:fill="006DB6"/>
          </w:tcPr>
          <w:p w14:paraId="30E17900" w14:textId="77777777" w:rsidR="009A2986" w:rsidRDefault="009A2986">
            <w:pPr>
              <w:spacing w:after="0"/>
              <w:rPr>
                <w:rFonts w:hint="eastAsia"/>
              </w:rPr>
            </w:pPr>
          </w:p>
        </w:tc>
      </w:tr>
    </w:tbl>
    <w:p w14:paraId="765F34C8" w14:textId="77777777" w:rsidR="009A2986" w:rsidRDefault="009A2986">
      <w:pPr>
        <w:rPr>
          <w:rFonts w:hint="eastAsia"/>
        </w:rPr>
      </w:pPr>
    </w:p>
    <w:p w14:paraId="3D78D764" w14:textId="77777777" w:rsidR="009A2986" w:rsidRDefault="009A2986">
      <w:pPr>
        <w:rPr>
          <w:rFonts w:hint="eastAsia"/>
        </w:rPr>
      </w:pPr>
    </w:p>
    <w:p w14:paraId="5FEBDF2F" w14:textId="77777777" w:rsidR="009A2986" w:rsidRDefault="009A2986">
      <w:pPr>
        <w:rPr>
          <w:rFonts w:hint="eastAsia"/>
        </w:rPr>
      </w:pPr>
    </w:p>
    <w:p w14:paraId="76DDEF54" w14:textId="77777777" w:rsidR="009A2986" w:rsidRDefault="00000000">
      <w:pPr>
        <w:jc w:val="center"/>
        <w:rPr>
          <w:rFonts w:hint="eastAsia"/>
        </w:rPr>
      </w:pPr>
      <w:r>
        <w:rPr>
          <w:noProof/>
        </w:rPr>
        <w:drawing>
          <wp:inline distT="0" distB="0" distL="0" distR="0" wp14:anchorId="6F2950E7" wp14:editId="1F119326">
            <wp:extent cx="27432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jian-logo-full-color-600x125.png"/>
                    <pic:cNvPicPr/>
                  </pic:nvPicPr>
                  <pic:blipFill>
                    <a:blip r:embed="rId8"/>
                    <a:stretch>
                      <a:fillRect/>
                    </a:stretch>
                  </pic:blipFill>
                  <pic:spPr>
                    <a:xfrm>
                      <a:off x="0" y="0"/>
                      <a:ext cx="2743200" cy="571500"/>
                    </a:xfrm>
                    <a:prstGeom prst="rect">
                      <a:avLst/>
                    </a:prstGeom>
                  </pic:spPr>
                </pic:pic>
              </a:graphicData>
            </a:graphic>
          </wp:inline>
        </w:drawing>
      </w:r>
    </w:p>
    <w:p w14:paraId="3B3360E1" w14:textId="77777777" w:rsidR="009A2986" w:rsidRDefault="009A2986">
      <w:pPr>
        <w:rPr>
          <w:rFonts w:hint="eastAsia"/>
        </w:rPr>
      </w:pPr>
    </w:p>
    <w:p w14:paraId="3D1858DA" w14:textId="77777777" w:rsidR="009A2986" w:rsidRDefault="009A2986">
      <w:pPr>
        <w:rPr>
          <w:rFonts w:hint="eastAsia"/>
        </w:rPr>
      </w:pPr>
    </w:p>
    <w:tbl>
      <w:tblPr>
        <w:tblW w:w="0" w:type="auto"/>
        <w:tblLayout w:type="fixed"/>
        <w:tblLook w:val="04A0" w:firstRow="1" w:lastRow="0" w:firstColumn="1" w:lastColumn="0" w:noHBand="0" w:noVBand="1"/>
      </w:tblPr>
      <w:tblGrid>
        <w:gridCol w:w="3744"/>
        <w:gridCol w:w="2160"/>
        <w:gridCol w:w="3744"/>
      </w:tblGrid>
      <w:tr w:rsidR="009A2986" w14:paraId="2825F4C2" w14:textId="77777777">
        <w:tc>
          <w:tcPr>
            <w:tcW w:w="3744" w:type="dxa"/>
            <w:tcBorders>
              <w:top w:val="nil"/>
              <w:left w:val="nil"/>
              <w:bottom w:val="nil"/>
              <w:right w:val="nil"/>
            </w:tcBorders>
          </w:tcPr>
          <w:p w14:paraId="6A15771D" w14:textId="77777777" w:rsidR="009A2986" w:rsidRDefault="009A2986">
            <w:pPr>
              <w:rPr>
                <w:rFonts w:hint="eastAsia"/>
              </w:rPr>
            </w:pPr>
          </w:p>
        </w:tc>
        <w:tc>
          <w:tcPr>
            <w:tcW w:w="2160" w:type="dxa"/>
            <w:tcBorders>
              <w:top w:val="nil"/>
              <w:left w:val="nil"/>
              <w:bottom w:val="nil"/>
              <w:right w:val="nil"/>
            </w:tcBorders>
            <w:shd w:val="clear" w:color="auto" w:fill="F67D4B"/>
          </w:tcPr>
          <w:p w14:paraId="54877E28" w14:textId="77777777" w:rsidR="009A2986" w:rsidRDefault="009A2986">
            <w:pPr>
              <w:spacing w:after="0"/>
              <w:rPr>
                <w:rFonts w:hint="eastAsia"/>
              </w:rPr>
            </w:pPr>
          </w:p>
        </w:tc>
        <w:tc>
          <w:tcPr>
            <w:tcW w:w="3744" w:type="dxa"/>
            <w:tcBorders>
              <w:top w:val="nil"/>
              <w:left w:val="nil"/>
              <w:bottom w:val="nil"/>
              <w:right w:val="nil"/>
            </w:tcBorders>
          </w:tcPr>
          <w:p w14:paraId="6CFFB093" w14:textId="77777777" w:rsidR="009A2986" w:rsidRDefault="009A2986">
            <w:pPr>
              <w:rPr>
                <w:rFonts w:hint="eastAsia"/>
              </w:rPr>
            </w:pPr>
          </w:p>
        </w:tc>
      </w:tr>
    </w:tbl>
    <w:p w14:paraId="532B8BF8" w14:textId="77777777" w:rsidR="009A2986" w:rsidRDefault="009A2986">
      <w:pPr>
        <w:rPr>
          <w:rFonts w:hint="eastAsia"/>
        </w:rPr>
      </w:pPr>
    </w:p>
    <w:p w14:paraId="48A58C99" w14:textId="77777777" w:rsidR="009A2986" w:rsidRDefault="00000000">
      <w:pPr>
        <w:jc w:val="center"/>
        <w:rPr>
          <w:rFonts w:hint="eastAsia"/>
        </w:rPr>
      </w:pPr>
      <w:r>
        <w:rPr>
          <w:b/>
          <w:color w:val="1A1A2E"/>
          <w:sz w:val="64"/>
        </w:rPr>
        <w:t>BWH Hours Analysis</w:t>
      </w:r>
    </w:p>
    <w:p w14:paraId="120FABD1" w14:textId="77777777" w:rsidR="009A2986" w:rsidRDefault="00000000">
      <w:pPr>
        <w:jc w:val="center"/>
        <w:rPr>
          <w:rFonts w:hint="eastAsia"/>
        </w:rPr>
      </w:pPr>
      <w:r>
        <w:rPr>
          <w:b/>
          <w:color w:val="1A1A2E"/>
          <w:sz w:val="64"/>
        </w:rPr>
        <w:t>&amp; Savings Review</w:t>
      </w:r>
    </w:p>
    <w:p w14:paraId="7E3F296B" w14:textId="77777777" w:rsidR="009A2986" w:rsidRDefault="009A2986">
      <w:pPr>
        <w:rPr>
          <w:rFonts w:hint="eastAsia"/>
        </w:rPr>
      </w:pPr>
    </w:p>
    <w:p w14:paraId="5824EC6D" w14:textId="77777777" w:rsidR="009A2986" w:rsidRDefault="00000000">
      <w:pPr>
        <w:jc w:val="center"/>
        <w:rPr>
          <w:rFonts w:hint="eastAsia"/>
        </w:rPr>
      </w:pPr>
      <w:r>
        <w:rPr>
          <w:sz w:val="28"/>
        </w:rPr>
        <w:t>Life-of-Contract Review (May 2023 – April 2026)</w:t>
      </w:r>
    </w:p>
    <w:p w14:paraId="1B8EE37F" w14:textId="77777777" w:rsidR="009A2986" w:rsidRDefault="009A2986">
      <w:pPr>
        <w:rPr>
          <w:rFonts w:hint="eastAsia"/>
        </w:rPr>
      </w:pPr>
    </w:p>
    <w:p w14:paraId="53BA4711" w14:textId="77777777" w:rsidR="009A2986" w:rsidRDefault="00000000">
      <w:pPr>
        <w:jc w:val="center"/>
        <w:rPr>
          <w:rFonts w:hint="eastAsia"/>
        </w:rPr>
      </w:pPr>
      <w:r>
        <w:rPr>
          <w:b/>
          <w:color w:val="1A1A2E"/>
          <w:sz w:val="26"/>
        </w:rPr>
        <w:t>Prepared for: Dave — Brandywine Homes</w:t>
      </w:r>
    </w:p>
    <w:p w14:paraId="2C453F67" w14:textId="77777777" w:rsidR="009A2986" w:rsidRDefault="00000000">
      <w:pPr>
        <w:jc w:val="center"/>
        <w:rPr>
          <w:rFonts w:hint="eastAsia"/>
        </w:rPr>
      </w:pPr>
      <w:r>
        <w:t>Prepared by: Technijian  |  April 24, 2026</w:t>
      </w:r>
    </w:p>
    <w:p w14:paraId="779E1F4B" w14:textId="77777777" w:rsidR="009A2986" w:rsidRDefault="009A2986">
      <w:pPr>
        <w:rPr>
          <w:rFonts w:hint="eastAsia"/>
        </w:rPr>
      </w:pPr>
    </w:p>
    <w:p w14:paraId="08236807" w14:textId="77777777" w:rsidR="009A2986" w:rsidRDefault="009A2986">
      <w:pPr>
        <w:rPr>
          <w:rFonts w:hint="eastAsia"/>
        </w:rPr>
      </w:pPr>
    </w:p>
    <w:p w14:paraId="3919DDA3" w14:textId="77777777" w:rsidR="009A2986" w:rsidRDefault="009A2986">
      <w:pPr>
        <w:rPr>
          <w:rFonts w:hint="eastAsia"/>
        </w:rPr>
      </w:pPr>
    </w:p>
    <w:tbl>
      <w:tblPr>
        <w:tblW w:w="0" w:type="auto"/>
        <w:tblLook w:val="04A0" w:firstRow="1" w:lastRow="0" w:firstColumn="1" w:lastColumn="0" w:noHBand="0" w:noVBand="1"/>
      </w:tblPr>
      <w:tblGrid>
        <w:gridCol w:w="9360"/>
      </w:tblGrid>
      <w:tr w:rsidR="009A2986" w14:paraId="4E1FF757" w14:textId="77777777">
        <w:tc>
          <w:tcPr>
            <w:tcW w:w="9360" w:type="dxa"/>
            <w:tcBorders>
              <w:top w:val="nil"/>
              <w:left w:val="nil"/>
              <w:bottom w:val="nil"/>
              <w:right w:val="nil"/>
            </w:tcBorders>
            <w:shd w:val="clear" w:color="auto" w:fill="F67D4B"/>
          </w:tcPr>
          <w:p w14:paraId="30587F7F" w14:textId="77777777" w:rsidR="009A2986" w:rsidRDefault="009A2986">
            <w:pPr>
              <w:spacing w:after="0"/>
              <w:rPr>
                <w:rFonts w:hint="eastAsia"/>
              </w:rPr>
            </w:pPr>
          </w:p>
        </w:tc>
      </w:tr>
    </w:tbl>
    <w:p w14:paraId="3B609408" w14:textId="77777777" w:rsidR="009A2986" w:rsidRDefault="00000000">
      <w:pPr>
        <w:jc w:val="center"/>
        <w:rPr>
          <w:rFonts w:hint="eastAsia"/>
        </w:rPr>
      </w:pPr>
      <w:r>
        <w:rPr>
          <w:b/>
          <w:sz w:val="20"/>
        </w:rPr>
        <w:t>CONFIDENTIAL — FOR CLIENT REVIEW</w:t>
      </w:r>
    </w:p>
    <w:tbl>
      <w:tblPr>
        <w:tblW w:w="0" w:type="auto"/>
        <w:tblLayout w:type="fixed"/>
        <w:tblLook w:val="04A0" w:firstRow="1" w:lastRow="0" w:firstColumn="1" w:lastColumn="0" w:noHBand="0" w:noVBand="1"/>
      </w:tblPr>
      <w:tblGrid>
        <w:gridCol w:w="236"/>
        <w:gridCol w:w="8976"/>
      </w:tblGrid>
      <w:tr w:rsidR="009A2986" w14:paraId="17E0AE7C" w14:textId="77777777" w:rsidTr="001D3CC9">
        <w:tc>
          <w:tcPr>
            <w:tcW w:w="236" w:type="dxa"/>
            <w:tcBorders>
              <w:top w:val="nil"/>
              <w:left w:val="nil"/>
              <w:bottom w:val="nil"/>
              <w:right w:val="nil"/>
            </w:tcBorders>
            <w:shd w:val="clear" w:color="auto" w:fill="006DB6"/>
            <w:vAlign w:val="center"/>
          </w:tcPr>
          <w:p w14:paraId="5A7D9F94" w14:textId="6F384E9F" w:rsidR="009A2986" w:rsidRDefault="00000000">
            <w:pPr>
              <w:rPr>
                <w:rFonts w:hint="eastAsia"/>
              </w:rPr>
            </w:pPr>
            <w:r>
              <w:lastRenderedPageBreak/>
              <w:br w:type="page"/>
            </w:r>
          </w:p>
        </w:tc>
        <w:tc>
          <w:tcPr>
            <w:tcW w:w="8976" w:type="dxa"/>
            <w:tcBorders>
              <w:top w:val="nil"/>
              <w:left w:val="nil"/>
              <w:bottom w:val="nil"/>
              <w:right w:val="nil"/>
            </w:tcBorders>
          </w:tcPr>
          <w:p w14:paraId="205FD7A6" w14:textId="77777777" w:rsidR="009A2986" w:rsidRDefault="00000000">
            <w:pPr>
              <w:spacing w:before="80" w:after="80"/>
              <w:rPr>
                <w:rFonts w:hint="eastAsia"/>
              </w:rPr>
            </w:pPr>
            <w:r>
              <w:rPr>
                <w:b/>
                <w:color w:val="006DB6"/>
                <w:sz w:val="28"/>
              </w:rPr>
              <w:t xml:space="preserve">  Executive Summary</w:t>
            </w:r>
          </w:p>
        </w:tc>
      </w:tr>
    </w:tbl>
    <w:p w14:paraId="219280D9" w14:textId="77777777" w:rsidR="009A2986" w:rsidRDefault="009A2986">
      <w:pPr>
        <w:rPr>
          <w:rFonts w:hint="eastAsia"/>
        </w:rPr>
      </w:pPr>
    </w:p>
    <w:p w14:paraId="0C65C859" w14:textId="77777777" w:rsidR="009A2986" w:rsidRDefault="00000000">
      <w:pPr>
        <w:spacing w:after="160"/>
        <w:rPr>
          <w:rFonts w:hint="eastAsia"/>
        </w:rPr>
      </w:pPr>
      <w:r>
        <w:t>Over the 36-month life of Brandywine Homes' IT Services contract (May 2, 2023 → present), Technijian delivered 4,050.10 billable hours of support, pulled directly from the client portal. This review explains what those hours were spent on, and — most importantly — identifies 588 hours of project-style work (ERP upgrades, VM/server rebuilds, OneDrive migration, Windows 11 refresh, firewall install, and more) that were absorbed into your monthly support contract rather than quoted as separate proposals.</w:t>
      </w:r>
    </w:p>
    <w:p w14:paraId="37C3A4B2" w14:textId="77777777" w:rsidR="009A2986" w:rsidRDefault="00000000">
      <w:pPr>
        <w:spacing w:after="160"/>
        <w:rPr>
          <w:rFonts w:hint="eastAsia"/>
        </w:rPr>
      </w:pPr>
      <w:r>
        <w:t>Because that project work was delivered under your monthly support model, it was never billed at the contract's over-contract / project-proposal rate of $150 per hour. If those same deliverables had been quoted as separate Statements of Work — as is standard practice for server/VM upgrades, ERP migrations, and network buildouts — you would have received project invoices totaling $88,251.</w:t>
      </w:r>
    </w:p>
    <w:p w14:paraId="67921A80" w14:textId="77777777" w:rsidR="009A2986" w:rsidRDefault="00000000">
      <w:pPr>
        <w:spacing w:after="160"/>
        <w:rPr>
          <w:rFonts w:hint="eastAsia"/>
        </w:rPr>
      </w:pPr>
      <w:r>
        <w:rPr>
          <w:b/>
          <w:color w:val="1A1A2E"/>
        </w:rPr>
        <w:t>In short: keeping this work inside your monthly support model saved BWH approximately $88,251 in project-proposal billing over the life of the contract.</w:t>
      </w:r>
    </w:p>
    <w:p w14:paraId="6B0F9888" w14:textId="77777777" w:rsidR="009A2986" w:rsidRDefault="009A2986">
      <w:pPr>
        <w:rPr>
          <w:rFonts w:hint="eastAsia"/>
        </w:rPr>
      </w:pPr>
    </w:p>
    <w:tbl>
      <w:tblPr>
        <w:tblW w:w="0" w:type="auto"/>
        <w:tblLayout w:type="fixed"/>
        <w:tblLook w:val="04A0" w:firstRow="1" w:lastRow="0" w:firstColumn="1" w:lastColumn="0" w:noHBand="0" w:noVBand="1"/>
      </w:tblPr>
      <w:tblGrid>
        <w:gridCol w:w="3120"/>
        <w:gridCol w:w="3120"/>
        <w:gridCol w:w="3120"/>
      </w:tblGrid>
      <w:tr w:rsidR="009A2986" w14:paraId="75898A75" w14:textId="77777777">
        <w:tc>
          <w:tcPr>
            <w:tcW w:w="3120" w:type="dxa"/>
            <w:tcBorders>
              <w:top w:val="nil"/>
              <w:left w:val="nil"/>
              <w:bottom w:val="nil"/>
              <w:right w:val="nil"/>
            </w:tcBorders>
            <w:shd w:val="clear" w:color="auto" w:fill="F8F9FA"/>
          </w:tcPr>
          <w:p w14:paraId="505B9929" w14:textId="77777777" w:rsidR="009A2986" w:rsidRDefault="00000000">
            <w:pPr>
              <w:spacing w:before="240" w:after="0"/>
              <w:jc w:val="center"/>
              <w:rPr>
                <w:rFonts w:hint="eastAsia"/>
              </w:rPr>
            </w:pPr>
            <w:r>
              <w:rPr>
                <w:b/>
                <w:color w:val="006DB6"/>
                <w:sz w:val="52"/>
              </w:rPr>
              <w:t>4,050</w:t>
            </w:r>
          </w:p>
          <w:p w14:paraId="650F8831" w14:textId="77777777" w:rsidR="009A2986" w:rsidRDefault="00000000">
            <w:pPr>
              <w:spacing w:after="240"/>
              <w:jc w:val="center"/>
              <w:rPr>
                <w:rFonts w:hint="eastAsia"/>
              </w:rPr>
            </w:pPr>
            <w:r>
              <w:rPr>
                <w:sz w:val="20"/>
              </w:rPr>
              <w:t>Total Hours Delivered</w:t>
            </w:r>
          </w:p>
        </w:tc>
        <w:tc>
          <w:tcPr>
            <w:tcW w:w="3120" w:type="dxa"/>
            <w:tcBorders>
              <w:top w:val="nil"/>
              <w:left w:val="nil"/>
              <w:bottom w:val="nil"/>
              <w:right w:val="nil"/>
            </w:tcBorders>
            <w:shd w:val="clear" w:color="auto" w:fill="F8F9FA"/>
          </w:tcPr>
          <w:p w14:paraId="1FE8B8E3" w14:textId="77777777" w:rsidR="009A2986" w:rsidRDefault="00000000">
            <w:pPr>
              <w:spacing w:before="240" w:after="0"/>
              <w:jc w:val="center"/>
              <w:rPr>
                <w:rFonts w:hint="eastAsia"/>
              </w:rPr>
            </w:pPr>
            <w:r>
              <w:rPr>
                <w:b/>
                <w:color w:val="F67D4B"/>
                <w:sz w:val="52"/>
              </w:rPr>
              <w:t>588</w:t>
            </w:r>
          </w:p>
          <w:p w14:paraId="3E09A452" w14:textId="77777777" w:rsidR="009A2986" w:rsidRDefault="00000000">
            <w:pPr>
              <w:spacing w:after="240"/>
              <w:jc w:val="center"/>
              <w:rPr>
                <w:rFonts w:hint="eastAsia"/>
              </w:rPr>
            </w:pPr>
            <w:r>
              <w:rPr>
                <w:sz w:val="20"/>
              </w:rPr>
              <w:t>Project-Type Hours</w:t>
            </w:r>
          </w:p>
        </w:tc>
        <w:tc>
          <w:tcPr>
            <w:tcW w:w="3120" w:type="dxa"/>
            <w:tcBorders>
              <w:top w:val="nil"/>
              <w:left w:val="nil"/>
              <w:bottom w:val="nil"/>
              <w:right w:val="nil"/>
            </w:tcBorders>
            <w:shd w:val="clear" w:color="auto" w:fill="F8F9FA"/>
          </w:tcPr>
          <w:p w14:paraId="12F1BF0D" w14:textId="77777777" w:rsidR="009A2986" w:rsidRDefault="00000000">
            <w:pPr>
              <w:spacing w:before="240" w:after="0"/>
              <w:jc w:val="center"/>
              <w:rPr>
                <w:rFonts w:hint="eastAsia"/>
              </w:rPr>
            </w:pPr>
            <w:r>
              <w:rPr>
                <w:b/>
                <w:color w:val="28A745"/>
                <w:sz w:val="52"/>
              </w:rPr>
              <w:t>$88,251</w:t>
            </w:r>
          </w:p>
          <w:p w14:paraId="5F3B005B" w14:textId="77777777" w:rsidR="009A2986" w:rsidRDefault="00000000">
            <w:pPr>
              <w:spacing w:after="240"/>
              <w:jc w:val="center"/>
              <w:rPr>
                <w:rFonts w:hint="eastAsia"/>
              </w:rPr>
            </w:pPr>
            <w:r>
              <w:rPr>
                <w:sz w:val="20"/>
              </w:rPr>
              <w:t>Proposal Billing Avoided</w:t>
            </w:r>
          </w:p>
        </w:tc>
      </w:tr>
    </w:tbl>
    <w:p w14:paraId="38919DD2" w14:textId="77777777" w:rsidR="009A2986" w:rsidRDefault="009A2986">
      <w:pPr>
        <w:rPr>
          <w:rFonts w:hint="eastAsia"/>
        </w:rPr>
      </w:pPr>
    </w:p>
    <w:p w14:paraId="456049BF" w14:textId="77777777" w:rsidR="009A2986" w:rsidRDefault="00000000">
      <w:pPr>
        <w:rPr>
          <w:rFonts w:hint="eastAsia"/>
        </w:rPr>
      </w:pPr>
      <w:r>
        <w:br w:type="page"/>
      </w:r>
    </w:p>
    <w:tbl>
      <w:tblPr>
        <w:tblW w:w="0" w:type="auto"/>
        <w:tblLayout w:type="fixed"/>
        <w:tblLook w:val="04A0" w:firstRow="1" w:lastRow="0" w:firstColumn="1" w:lastColumn="0" w:noHBand="0" w:noVBand="1"/>
      </w:tblPr>
      <w:tblGrid>
        <w:gridCol w:w="236"/>
        <w:gridCol w:w="8976"/>
      </w:tblGrid>
      <w:tr w:rsidR="009A2986" w14:paraId="234B1C34" w14:textId="77777777">
        <w:tc>
          <w:tcPr>
            <w:tcW w:w="94" w:type="dxa"/>
            <w:tcBorders>
              <w:top w:val="nil"/>
              <w:left w:val="nil"/>
              <w:bottom w:val="nil"/>
              <w:right w:val="nil"/>
            </w:tcBorders>
            <w:shd w:val="clear" w:color="auto" w:fill="F67D4B"/>
            <w:vAlign w:val="center"/>
          </w:tcPr>
          <w:p w14:paraId="19F9F0AB" w14:textId="77777777" w:rsidR="009A2986" w:rsidRDefault="009A2986">
            <w:pPr>
              <w:rPr>
                <w:rFonts w:hint="eastAsia"/>
              </w:rPr>
            </w:pPr>
          </w:p>
        </w:tc>
        <w:tc>
          <w:tcPr>
            <w:tcW w:w="8976" w:type="dxa"/>
            <w:tcBorders>
              <w:top w:val="nil"/>
              <w:left w:val="nil"/>
              <w:bottom w:val="nil"/>
              <w:right w:val="nil"/>
            </w:tcBorders>
          </w:tcPr>
          <w:p w14:paraId="24928027" w14:textId="77777777" w:rsidR="009A2986" w:rsidRDefault="00000000">
            <w:pPr>
              <w:spacing w:before="80" w:after="80"/>
              <w:rPr>
                <w:rFonts w:hint="eastAsia"/>
              </w:rPr>
            </w:pPr>
            <w:r>
              <w:rPr>
                <w:b/>
                <w:color w:val="F67D4B"/>
                <w:sz w:val="28"/>
              </w:rPr>
              <w:t xml:space="preserve">  The Savings Mechanism</w:t>
            </w:r>
          </w:p>
        </w:tc>
      </w:tr>
    </w:tbl>
    <w:p w14:paraId="1385CE09" w14:textId="77777777" w:rsidR="009A2986" w:rsidRDefault="009A2986">
      <w:pPr>
        <w:rPr>
          <w:rFonts w:hint="eastAsia"/>
        </w:rPr>
      </w:pPr>
    </w:p>
    <w:p w14:paraId="0F3DEC44" w14:textId="77777777" w:rsidR="009A2986" w:rsidRDefault="00000000">
      <w:pPr>
        <w:spacing w:after="160"/>
        <w:rPr>
          <w:rFonts w:hint="eastAsia"/>
        </w:rPr>
      </w:pPr>
      <w:r>
        <w:t>Your active contract (Contract ID 4924, signed 2023-05-02) specifies two billing modes:</w:t>
      </w:r>
    </w:p>
    <w:p w14:paraId="559D9AA2" w14:textId="77777777" w:rsidR="009A2986" w:rsidRDefault="00000000">
      <w:pPr>
        <w:pStyle w:val="ListBullet"/>
        <w:spacing w:after="80"/>
        <w:rPr>
          <w:rFonts w:hint="eastAsia"/>
        </w:rPr>
      </w:pPr>
      <w:r>
        <w:rPr>
          <w:b/>
          <w:color w:val="1A1A2E"/>
        </w:rPr>
        <w:t xml:space="preserve">Monthly Service: </w:t>
      </w:r>
      <w:r>
        <w:t>A monthly managed-services allocation covering routine IT support (patching, AV, monitoring, user help-desk, agent management, etc.)</w:t>
      </w:r>
    </w:p>
    <w:p w14:paraId="1A421FF5" w14:textId="77777777" w:rsidR="009A2986" w:rsidRDefault="00000000">
      <w:pPr>
        <w:pStyle w:val="ListBullet"/>
        <w:spacing w:after="80"/>
        <w:rPr>
          <w:rFonts w:hint="eastAsia"/>
        </w:rPr>
      </w:pPr>
      <w:r>
        <w:rPr>
          <w:b/>
          <w:color w:val="1A1A2E"/>
        </w:rPr>
        <w:t xml:space="preserve">Over-Contract / Proposal Rate: </w:t>
      </w:r>
      <w:r>
        <w:t>$150.00 per hour — the rate that applies to any work delivered outside the monthly allocation, and the rate that would have applied to any separately-scoped project SOW.</w:t>
      </w:r>
    </w:p>
    <w:p w14:paraId="75D0AB14" w14:textId="77777777" w:rsidR="009A2986" w:rsidRDefault="009A2986">
      <w:pPr>
        <w:rPr>
          <w:rFonts w:hint="eastAsia"/>
        </w:rPr>
      </w:pPr>
    </w:p>
    <w:p w14:paraId="61401D7E" w14:textId="77777777" w:rsidR="009A2986" w:rsidRDefault="00000000">
      <w:pPr>
        <w:spacing w:after="160"/>
        <w:rPr>
          <w:rFonts w:hint="eastAsia"/>
        </w:rPr>
      </w:pPr>
      <w:r>
        <w:t>In a traditional MSP engagement, certain categories of work — operating system upgrades, server rebuilds, ERP migrations, OneDrive / SharePoint data migrations, firewall replacements, new-site buildouts — would be quoted as Statements of Work at the $150/hr project rate, billed separately, and delivered outside the monthly support pool. Under BWH's contract, those hours were instead delivered by the same India + USA support pods as routine work, and logged against the monthly support stream. No separate proposal invoice was ever generated.</w:t>
      </w:r>
    </w:p>
    <w:p w14:paraId="73B85518" w14:textId="77777777" w:rsidR="009A2986" w:rsidRDefault="00000000">
      <w:pPr>
        <w:spacing w:after="160"/>
        <w:rPr>
          <w:rFonts w:hint="eastAsia"/>
        </w:rPr>
      </w:pPr>
      <w:r>
        <w:rPr>
          <w:b/>
          <w:color w:val="1A1A2E"/>
        </w:rPr>
        <w:t>The net effect: BWH received $88,251 of project-rate deliverables without receiving $88,251 of project-rate invoices. The full life-of-contract breakdown, per project, is below.</w:t>
      </w:r>
    </w:p>
    <w:p w14:paraId="01A57042" w14:textId="77777777" w:rsidR="009A2986" w:rsidRDefault="00000000">
      <w:pPr>
        <w:rPr>
          <w:rFonts w:hint="eastAsia"/>
        </w:rPr>
      </w:pPr>
      <w:r>
        <w:br w:type="page"/>
      </w:r>
    </w:p>
    <w:tbl>
      <w:tblPr>
        <w:tblW w:w="0" w:type="auto"/>
        <w:tblLayout w:type="fixed"/>
        <w:tblLook w:val="04A0" w:firstRow="1" w:lastRow="0" w:firstColumn="1" w:lastColumn="0" w:noHBand="0" w:noVBand="1"/>
      </w:tblPr>
      <w:tblGrid>
        <w:gridCol w:w="236"/>
        <w:gridCol w:w="8976"/>
      </w:tblGrid>
      <w:tr w:rsidR="009A2986" w14:paraId="6645724C" w14:textId="77777777">
        <w:tc>
          <w:tcPr>
            <w:tcW w:w="94" w:type="dxa"/>
            <w:tcBorders>
              <w:top w:val="nil"/>
              <w:left w:val="nil"/>
              <w:bottom w:val="nil"/>
              <w:right w:val="nil"/>
            </w:tcBorders>
            <w:shd w:val="clear" w:color="auto" w:fill="006DB6"/>
            <w:vAlign w:val="center"/>
          </w:tcPr>
          <w:p w14:paraId="42D0553D" w14:textId="77777777" w:rsidR="009A2986" w:rsidRDefault="009A2986">
            <w:pPr>
              <w:rPr>
                <w:rFonts w:hint="eastAsia"/>
              </w:rPr>
            </w:pPr>
          </w:p>
        </w:tc>
        <w:tc>
          <w:tcPr>
            <w:tcW w:w="8976" w:type="dxa"/>
            <w:tcBorders>
              <w:top w:val="nil"/>
              <w:left w:val="nil"/>
              <w:bottom w:val="nil"/>
              <w:right w:val="nil"/>
            </w:tcBorders>
          </w:tcPr>
          <w:p w14:paraId="4D62E704" w14:textId="77777777" w:rsidR="009A2986" w:rsidRDefault="00000000">
            <w:pPr>
              <w:spacing w:before="80" w:after="80"/>
              <w:rPr>
                <w:rFonts w:hint="eastAsia"/>
              </w:rPr>
            </w:pPr>
            <w:r>
              <w:rPr>
                <w:b/>
                <w:color w:val="006DB6"/>
                <w:sz w:val="28"/>
              </w:rPr>
              <w:t xml:space="preserve">  Savings by Project — at $150/hr Proposal Rate</w:t>
            </w:r>
          </w:p>
        </w:tc>
      </w:tr>
    </w:tbl>
    <w:p w14:paraId="113EB264" w14:textId="77777777" w:rsidR="009A2986" w:rsidRDefault="009A2986">
      <w:pPr>
        <w:rPr>
          <w:rFonts w:hint="eastAsia"/>
        </w:rPr>
      </w:pPr>
    </w:p>
    <w:tbl>
      <w:tblPr>
        <w:tblW w:w="0" w:type="auto"/>
        <w:tblLayout w:type="fixed"/>
        <w:tblLook w:val="04A0" w:firstRow="1" w:lastRow="0" w:firstColumn="1" w:lastColumn="0" w:noHBand="0" w:noVBand="1"/>
      </w:tblPr>
      <w:tblGrid>
        <w:gridCol w:w="3888"/>
        <w:gridCol w:w="1224"/>
        <w:gridCol w:w="1224"/>
        <w:gridCol w:w="1224"/>
        <w:gridCol w:w="1944"/>
      </w:tblGrid>
      <w:tr w:rsidR="009A2986" w14:paraId="17936908" w14:textId="77777777">
        <w:tc>
          <w:tcPr>
            <w:tcW w:w="3888" w:type="dxa"/>
            <w:tcBorders>
              <w:top w:val="single" w:sz="4" w:space="0" w:color="E9ECEF"/>
              <w:left w:val="single" w:sz="4" w:space="0" w:color="E9ECEF"/>
              <w:bottom w:val="single" w:sz="4" w:space="0" w:color="E9ECEF"/>
              <w:right w:val="single" w:sz="4" w:space="0" w:color="E9ECEF"/>
            </w:tcBorders>
            <w:shd w:val="clear" w:color="auto" w:fill="006DB6"/>
          </w:tcPr>
          <w:p w14:paraId="2D4E6592" w14:textId="77777777" w:rsidR="009A2986" w:rsidRDefault="00000000">
            <w:pPr>
              <w:spacing w:before="40" w:after="40"/>
              <w:rPr>
                <w:rFonts w:hint="eastAsia"/>
              </w:rPr>
            </w:pPr>
            <w:r>
              <w:rPr>
                <w:b/>
                <w:color w:val="FFFFFF"/>
                <w:sz w:val="20"/>
              </w:rPr>
              <w:t>Project</w:t>
            </w:r>
          </w:p>
        </w:tc>
        <w:tc>
          <w:tcPr>
            <w:tcW w:w="1224" w:type="dxa"/>
            <w:tcBorders>
              <w:top w:val="single" w:sz="4" w:space="0" w:color="E9ECEF"/>
              <w:left w:val="single" w:sz="4" w:space="0" w:color="E9ECEF"/>
              <w:bottom w:val="single" w:sz="4" w:space="0" w:color="E9ECEF"/>
              <w:right w:val="single" w:sz="4" w:space="0" w:color="E9ECEF"/>
            </w:tcBorders>
            <w:shd w:val="clear" w:color="auto" w:fill="006DB6"/>
          </w:tcPr>
          <w:p w14:paraId="339B5134" w14:textId="77777777" w:rsidR="009A2986" w:rsidRDefault="00000000">
            <w:pPr>
              <w:spacing w:before="40" w:after="40"/>
              <w:rPr>
                <w:rFonts w:hint="eastAsia"/>
              </w:rPr>
            </w:pPr>
            <w:r>
              <w:rPr>
                <w:b/>
                <w:color w:val="FFFFFF"/>
                <w:sz w:val="20"/>
              </w:rPr>
              <w:t>India hrs</w:t>
            </w:r>
          </w:p>
        </w:tc>
        <w:tc>
          <w:tcPr>
            <w:tcW w:w="1224" w:type="dxa"/>
            <w:tcBorders>
              <w:top w:val="single" w:sz="4" w:space="0" w:color="E9ECEF"/>
              <w:left w:val="single" w:sz="4" w:space="0" w:color="E9ECEF"/>
              <w:bottom w:val="single" w:sz="4" w:space="0" w:color="E9ECEF"/>
              <w:right w:val="single" w:sz="4" w:space="0" w:color="E9ECEF"/>
            </w:tcBorders>
            <w:shd w:val="clear" w:color="auto" w:fill="006DB6"/>
          </w:tcPr>
          <w:p w14:paraId="68871673" w14:textId="77777777" w:rsidR="009A2986" w:rsidRDefault="00000000">
            <w:pPr>
              <w:spacing w:before="40" w:after="40"/>
              <w:rPr>
                <w:rFonts w:hint="eastAsia"/>
              </w:rPr>
            </w:pPr>
            <w:r>
              <w:rPr>
                <w:b/>
                <w:color w:val="FFFFFF"/>
                <w:sz w:val="20"/>
              </w:rPr>
              <w:t>USA hrs</w:t>
            </w:r>
          </w:p>
        </w:tc>
        <w:tc>
          <w:tcPr>
            <w:tcW w:w="1224" w:type="dxa"/>
            <w:tcBorders>
              <w:top w:val="single" w:sz="4" w:space="0" w:color="E9ECEF"/>
              <w:left w:val="single" w:sz="4" w:space="0" w:color="E9ECEF"/>
              <w:bottom w:val="single" w:sz="4" w:space="0" w:color="E9ECEF"/>
              <w:right w:val="single" w:sz="4" w:space="0" w:color="E9ECEF"/>
            </w:tcBorders>
            <w:shd w:val="clear" w:color="auto" w:fill="006DB6"/>
          </w:tcPr>
          <w:p w14:paraId="21751C76" w14:textId="77777777" w:rsidR="009A2986" w:rsidRDefault="00000000">
            <w:pPr>
              <w:spacing w:before="40" w:after="40"/>
              <w:rPr>
                <w:rFonts w:hint="eastAsia"/>
              </w:rPr>
            </w:pPr>
            <w:r>
              <w:rPr>
                <w:b/>
                <w:color w:val="FFFFFF"/>
                <w:sz w:val="20"/>
              </w:rPr>
              <w:t>Total hrs</w:t>
            </w:r>
          </w:p>
        </w:tc>
        <w:tc>
          <w:tcPr>
            <w:tcW w:w="1944" w:type="dxa"/>
            <w:tcBorders>
              <w:top w:val="single" w:sz="4" w:space="0" w:color="E9ECEF"/>
              <w:left w:val="single" w:sz="4" w:space="0" w:color="E9ECEF"/>
              <w:bottom w:val="single" w:sz="4" w:space="0" w:color="E9ECEF"/>
              <w:right w:val="single" w:sz="4" w:space="0" w:color="E9ECEF"/>
            </w:tcBorders>
            <w:shd w:val="clear" w:color="auto" w:fill="006DB6"/>
          </w:tcPr>
          <w:p w14:paraId="24D196D0" w14:textId="77777777" w:rsidR="009A2986" w:rsidRDefault="00000000">
            <w:pPr>
              <w:spacing w:before="40" w:after="40"/>
              <w:rPr>
                <w:rFonts w:hint="eastAsia"/>
              </w:rPr>
            </w:pPr>
            <w:r>
              <w:rPr>
                <w:b/>
                <w:color w:val="FFFFFF"/>
                <w:sz w:val="20"/>
              </w:rPr>
              <w:t>Proposal cost @ $150/hr</w:t>
            </w:r>
          </w:p>
        </w:tc>
      </w:tr>
      <w:tr w:rsidR="009A2986" w14:paraId="6FF956EF" w14:textId="77777777">
        <w:tc>
          <w:tcPr>
            <w:tcW w:w="3888" w:type="dxa"/>
            <w:tcBorders>
              <w:top w:val="single" w:sz="4" w:space="0" w:color="E9ECEF"/>
              <w:left w:val="single" w:sz="4" w:space="0" w:color="E9ECEF"/>
              <w:bottom w:val="single" w:sz="4" w:space="0" w:color="E9ECEF"/>
              <w:right w:val="single" w:sz="4" w:space="0" w:color="E9ECEF"/>
            </w:tcBorders>
          </w:tcPr>
          <w:p w14:paraId="0D31059E" w14:textId="77777777" w:rsidR="009A2986" w:rsidRDefault="00000000">
            <w:pPr>
              <w:spacing w:before="40" w:after="40"/>
              <w:rPr>
                <w:rFonts w:hint="eastAsia"/>
              </w:rPr>
            </w:pPr>
            <w:r>
              <w:rPr>
                <w:sz w:val="20"/>
              </w:rPr>
              <w:t>NewStar ERP upgrade &amp; support</w:t>
            </w:r>
          </w:p>
        </w:tc>
        <w:tc>
          <w:tcPr>
            <w:tcW w:w="1224" w:type="dxa"/>
            <w:tcBorders>
              <w:top w:val="single" w:sz="4" w:space="0" w:color="E9ECEF"/>
              <w:left w:val="single" w:sz="4" w:space="0" w:color="E9ECEF"/>
              <w:bottom w:val="single" w:sz="4" w:space="0" w:color="E9ECEF"/>
              <w:right w:val="single" w:sz="4" w:space="0" w:color="E9ECEF"/>
            </w:tcBorders>
          </w:tcPr>
          <w:p w14:paraId="2CB12A3C" w14:textId="77777777" w:rsidR="009A2986" w:rsidRDefault="00000000">
            <w:pPr>
              <w:spacing w:before="40" w:after="40"/>
              <w:jc w:val="right"/>
              <w:rPr>
                <w:rFonts w:hint="eastAsia"/>
              </w:rPr>
            </w:pPr>
            <w:r>
              <w:rPr>
                <w:sz w:val="20"/>
              </w:rPr>
              <w:t>125.21</w:t>
            </w:r>
          </w:p>
        </w:tc>
        <w:tc>
          <w:tcPr>
            <w:tcW w:w="1224" w:type="dxa"/>
            <w:tcBorders>
              <w:top w:val="single" w:sz="4" w:space="0" w:color="E9ECEF"/>
              <w:left w:val="single" w:sz="4" w:space="0" w:color="E9ECEF"/>
              <w:bottom w:val="single" w:sz="4" w:space="0" w:color="E9ECEF"/>
              <w:right w:val="single" w:sz="4" w:space="0" w:color="E9ECEF"/>
            </w:tcBorders>
          </w:tcPr>
          <w:p w14:paraId="23ADFD3D" w14:textId="77777777" w:rsidR="009A2986" w:rsidRDefault="00000000">
            <w:pPr>
              <w:spacing w:before="40" w:after="40"/>
              <w:jc w:val="right"/>
              <w:rPr>
                <w:rFonts w:hint="eastAsia"/>
              </w:rPr>
            </w:pPr>
            <w:r>
              <w:rPr>
                <w:sz w:val="20"/>
              </w:rPr>
              <w:t>63.05</w:t>
            </w:r>
          </w:p>
        </w:tc>
        <w:tc>
          <w:tcPr>
            <w:tcW w:w="1224" w:type="dxa"/>
            <w:tcBorders>
              <w:top w:val="single" w:sz="4" w:space="0" w:color="E9ECEF"/>
              <w:left w:val="single" w:sz="4" w:space="0" w:color="E9ECEF"/>
              <w:bottom w:val="single" w:sz="4" w:space="0" w:color="E9ECEF"/>
              <w:right w:val="single" w:sz="4" w:space="0" w:color="E9ECEF"/>
            </w:tcBorders>
          </w:tcPr>
          <w:p w14:paraId="64D8E4E6" w14:textId="77777777" w:rsidR="009A2986" w:rsidRDefault="00000000">
            <w:pPr>
              <w:spacing w:before="40" w:after="40"/>
              <w:jc w:val="right"/>
              <w:rPr>
                <w:rFonts w:hint="eastAsia"/>
              </w:rPr>
            </w:pPr>
            <w:r>
              <w:rPr>
                <w:sz w:val="20"/>
              </w:rPr>
              <w:t>188.26</w:t>
            </w:r>
          </w:p>
        </w:tc>
        <w:tc>
          <w:tcPr>
            <w:tcW w:w="1944" w:type="dxa"/>
            <w:tcBorders>
              <w:top w:val="single" w:sz="4" w:space="0" w:color="E9ECEF"/>
              <w:left w:val="single" w:sz="4" w:space="0" w:color="E9ECEF"/>
              <w:bottom w:val="single" w:sz="4" w:space="0" w:color="E9ECEF"/>
              <w:right w:val="single" w:sz="4" w:space="0" w:color="E9ECEF"/>
            </w:tcBorders>
          </w:tcPr>
          <w:p w14:paraId="6FD2404A" w14:textId="77777777" w:rsidR="009A2986" w:rsidRDefault="00000000">
            <w:pPr>
              <w:spacing w:before="40" w:after="40"/>
              <w:jc w:val="right"/>
              <w:rPr>
                <w:rFonts w:hint="eastAsia"/>
              </w:rPr>
            </w:pPr>
            <w:r>
              <w:rPr>
                <w:sz w:val="20"/>
              </w:rPr>
              <w:t>$28,239.00</w:t>
            </w:r>
          </w:p>
        </w:tc>
      </w:tr>
      <w:tr w:rsidR="009A2986" w14:paraId="513A035C" w14:textId="77777777">
        <w:tc>
          <w:tcPr>
            <w:tcW w:w="3888" w:type="dxa"/>
            <w:tcBorders>
              <w:top w:val="single" w:sz="4" w:space="0" w:color="E9ECEF"/>
              <w:left w:val="single" w:sz="4" w:space="0" w:color="E9ECEF"/>
              <w:bottom w:val="single" w:sz="4" w:space="0" w:color="E9ECEF"/>
              <w:right w:val="single" w:sz="4" w:space="0" w:color="E9ECEF"/>
            </w:tcBorders>
            <w:shd w:val="clear" w:color="auto" w:fill="F8F9FA"/>
          </w:tcPr>
          <w:p w14:paraId="4B88F8FF" w14:textId="77777777" w:rsidR="009A2986" w:rsidRDefault="00000000">
            <w:pPr>
              <w:spacing w:before="40" w:after="40"/>
              <w:rPr>
                <w:rFonts w:hint="eastAsia"/>
              </w:rPr>
            </w:pPr>
            <w:r>
              <w:rPr>
                <w:sz w:val="20"/>
              </w:rPr>
              <w:t>RMM / tooling install on new machines</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60C5374F" w14:textId="77777777" w:rsidR="009A2986" w:rsidRDefault="00000000">
            <w:pPr>
              <w:spacing w:before="40" w:after="40"/>
              <w:jc w:val="right"/>
              <w:rPr>
                <w:rFonts w:hint="eastAsia"/>
              </w:rPr>
            </w:pPr>
            <w:r>
              <w:rPr>
                <w:sz w:val="20"/>
              </w:rPr>
              <w:t>103.37</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08E7C864" w14:textId="77777777" w:rsidR="009A2986" w:rsidRDefault="00000000">
            <w:pPr>
              <w:spacing w:before="40" w:after="40"/>
              <w:jc w:val="right"/>
              <w:rPr>
                <w:rFonts w:hint="eastAsia"/>
              </w:rPr>
            </w:pPr>
            <w:r>
              <w:rPr>
                <w:sz w:val="20"/>
              </w:rPr>
              <w:t>0.00</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3EFF4D04" w14:textId="77777777" w:rsidR="009A2986" w:rsidRDefault="00000000">
            <w:pPr>
              <w:spacing w:before="40" w:after="40"/>
              <w:jc w:val="right"/>
              <w:rPr>
                <w:rFonts w:hint="eastAsia"/>
              </w:rPr>
            </w:pPr>
            <w:r>
              <w:rPr>
                <w:sz w:val="20"/>
              </w:rPr>
              <w:t>103.37</w:t>
            </w:r>
          </w:p>
        </w:tc>
        <w:tc>
          <w:tcPr>
            <w:tcW w:w="1944" w:type="dxa"/>
            <w:tcBorders>
              <w:top w:val="single" w:sz="4" w:space="0" w:color="E9ECEF"/>
              <w:left w:val="single" w:sz="4" w:space="0" w:color="E9ECEF"/>
              <w:bottom w:val="single" w:sz="4" w:space="0" w:color="E9ECEF"/>
              <w:right w:val="single" w:sz="4" w:space="0" w:color="E9ECEF"/>
            </w:tcBorders>
            <w:shd w:val="clear" w:color="auto" w:fill="F8F9FA"/>
          </w:tcPr>
          <w:p w14:paraId="633A5E21" w14:textId="77777777" w:rsidR="009A2986" w:rsidRDefault="00000000">
            <w:pPr>
              <w:spacing w:before="40" w:after="40"/>
              <w:jc w:val="right"/>
              <w:rPr>
                <w:rFonts w:hint="eastAsia"/>
              </w:rPr>
            </w:pPr>
            <w:r>
              <w:rPr>
                <w:sz w:val="20"/>
              </w:rPr>
              <w:t>$15,505.50</w:t>
            </w:r>
          </w:p>
        </w:tc>
      </w:tr>
      <w:tr w:rsidR="009A2986" w14:paraId="431669F6" w14:textId="77777777">
        <w:tc>
          <w:tcPr>
            <w:tcW w:w="3888" w:type="dxa"/>
            <w:tcBorders>
              <w:top w:val="single" w:sz="4" w:space="0" w:color="E9ECEF"/>
              <w:left w:val="single" w:sz="4" w:space="0" w:color="E9ECEF"/>
              <w:bottom w:val="single" w:sz="4" w:space="0" w:color="E9ECEF"/>
              <w:right w:val="single" w:sz="4" w:space="0" w:color="E9ECEF"/>
            </w:tcBorders>
          </w:tcPr>
          <w:p w14:paraId="399FC56D" w14:textId="77777777" w:rsidR="009A2986" w:rsidRDefault="00000000">
            <w:pPr>
              <w:spacing w:before="40" w:after="40"/>
              <w:rPr>
                <w:rFonts w:hint="eastAsia"/>
              </w:rPr>
            </w:pPr>
            <w:r>
              <w:rPr>
                <w:sz w:val="20"/>
              </w:rPr>
              <w:t>Server / VM / ESXi / VMware upgrades</w:t>
            </w:r>
          </w:p>
        </w:tc>
        <w:tc>
          <w:tcPr>
            <w:tcW w:w="1224" w:type="dxa"/>
            <w:tcBorders>
              <w:top w:val="single" w:sz="4" w:space="0" w:color="E9ECEF"/>
              <w:left w:val="single" w:sz="4" w:space="0" w:color="E9ECEF"/>
              <w:bottom w:val="single" w:sz="4" w:space="0" w:color="E9ECEF"/>
              <w:right w:val="single" w:sz="4" w:space="0" w:color="E9ECEF"/>
            </w:tcBorders>
          </w:tcPr>
          <w:p w14:paraId="4165BABE" w14:textId="77777777" w:rsidR="009A2986" w:rsidRDefault="00000000">
            <w:pPr>
              <w:spacing w:before="40" w:after="40"/>
              <w:jc w:val="right"/>
              <w:rPr>
                <w:rFonts w:hint="eastAsia"/>
              </w:rPr>
            </w:pPr>
            <w:r>
              <w:rPr>
                <w:sz w:val="20"/>
              </w:rPr>
              <w:t>79.16</w:t>
            </w:r>
          </w:p>
        </w:tc>
        <w:tc>
          <w:tcPr>
            <w:tcW w:w="1224" w:type="dxa"/>
            <w:tcBorders>
              <w:top w:val="single" w:sz="4" w:space="0" w:color="E9ECEF"/>
              <w:left w:val="single" w:sz="4" w:space="0" w:color="E9ECEF"/>
              <w:bottom w:val="single" w:sz="4" w:space="0" w:color="E9ECEF"/>
              <w:right w:val="single" w:sz="4" w:space="0" w:color="E9ECEF"/>
            </w:tcBorders>
          </w:tcPr>
          <w:p w14:paraId="76B9E42F" w14:textId="77777777" w:rsidR="009A2986" w:rsidRDefault="00000000">
            <w:pPr>
              <w:spacing w:before="40" w:after="40"/>
              <w:jc w:val="right"/>
              <w:rPr>
                <w:rFonts w:hint="eastAsia"/>
              </w:rPr>
            </w:pPr>
            <w:r>
              <w:rPr>
                <w:sz w:val="20"/>
              </w:rPr>
              <w:t>8.39</w:t>
            </w:r>
          </w:p>
        </w:tc>
        <w:tc>
          <w:tcPr>
            <w:tcW w:w="1224" w:type="dxa"/>
            <w:tcBorders>
              <w:top w:val="single" w:sz="4" w:space="0" w:color="E9ECEF"/>
              <w:left w:val="single" w:sz="4" w:space="0" w:color="E9ECEF"/>
              <w:bottom w:val="single" w:sz="4" w:space="0" w:color="E9ECEF"/>
              <w:right w:val="single" w:sz="4" w:space="0" w:color="E9ECEF"/>
            </w:tcBorders>
          </w:tcPr>
          <w:p w14:paraId="5473E51F" w14:textId="77777777" w:rsidR="009A2986" w:rsidRDefault="00000000">
            <w:pPr>
              <w:spacing w:before="40" w:after="40"/>
              <w:jc w:val="right"/>
              <w:rPr>
                <w:rFonts w:hint="eastAsia"/>
              </w:rPr>
            </w:pPr>
            <w:r>
              <w:rPr>
                <w:sz w:val="20"/>
              </w:rPr>
              <w:t>87.55</w:t>
            </w:r>
          </w:p>
        </w:tc>
        <w:tc>
          <w:tcPr>
            <w:tcW w:w="1944" w:type="dxa"/>
            <w:tcBorders>
              <w:top w:val="single" w:sz="4" w:space="0" w:color="E9ECEF"/>
              <w:left w:val="single" w:sz="4" w:space="0" w:color="E9ECEF"/>
              <w:bottom w:val="single" w:sz="4" w:space="0" w:color="E9ECEF"/>
              <w:right w:val="single" w:sz="4" w:space="0" w:color="E9ECEF"/>
            </w:tcBorders>
          </w:tcPr>
          <w:p w14:paraId="7D29AE73" w14:textId="77777777" w:rsidR="009A2986" w:rsidRDefault="00000000">
            <w:pPr>
              <w:spacing w:before="40" w:after="40"/>
              <w:jc w:val="right"/>
              <w:rPr>
                <w:rFonts w:hint="eastAsia"/>
              </w:rPr>
            </w:pPr>
            <w:r>
              <w:rPr>
                <w:sz w:val="20"/>
              </w:rPr>
              <w:t>$13,132.50</w:t>
            </w:r>
          </w:p>
        </w:tc>
      </w:tr>
      <w:tr w:rsidR="009A2986" w14:paraId="2DA1331F" w14:textId="77777777">
        <w:tc>
          <w:tcPr>
            <w:tcW w:w="3888" w:type="dxa"/>
            <w:tcBorders>
              <w:top w:val="single" w:sz="4" w:space="0" w:color="E9ECEF"/>
              <w:left w:val="single" w:sz="4" w:space="0" w:color="E9ECEF"/>
              <w:bottom w:val="single" w:sz="4" w:space="0" w:color="E9ECEF"/>
              <w:right w:val="single" w:sz="4" w:space="0" w:color="E9ECEF"/>
            </w:tcBorders>
            <w:shd w:val="clear" w:color="auto" w:fill="F8F9FA"/>
          </w:tcPr>
          <w:p w14:paraId="4DEBE9B1" w14:textId="77777777" w:rsidR="009A2986" w:rsidRDefault="00000000">
            <w:pPr>
              <w:spacing w:before="40" w:after="40"/>
              <w:rPr>
                <w:rFonts w:hint="eastAsia"/>
              </w:rPr>
            </w:pPr>
            <w:r>
              <w:rPr>
                <w:sz w:val="20"/>
              </w:rPr>
              <w:t>Windows 11 / PC refresh / laptop deploy</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6E7117A5" w14:textId="77777777" w:rsidR="009A2986" w:rsidRDefault="00000000">
            <w:pPr>
              <w:spacing w:before="40" w:after="40"/>
              <w:jc w:val="right"/>
              <w:rPr>
                <w:rFonts w:hint="eastAsia"/>
              </w:rPr>
            </w:pPr>
            <w:r>
              <w:rPr>
                <w:sz w:val="20"/>
              </w:rPr>
              <w:t>13.77</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03A507CF" w14:textId="77777777" w:rsidR="009A2986" w:rsidRDefault="00000000">
            <w:pPr>
              <w:spacing w:before="40" w:after="40"/>
              <w:jc w:val="right"/>
              <w:rPr>
                <w:rFonts w:hint="eastAsia"/>
              </w:rPr>
            </w:pPr>
            <w:r>
              <w:rPr>
                <w:sz w:val="20"/>
              </w:rPr>
              <w:t>52.18</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6D295535" w14:textId="77777777" w:rsidR="009A2986" w:rsidRDefault="00000000">
            <w:pPr>
              <w:spacing w:before="40" w:after="40"/>
              <w:jc w:val="right"/>
              <w:rPr>
                <w:rFonts w:hint="eastAsia"/>
              </w:rPr>
            </w:pPr>
            <w:r>
              <w:rPr>
                <w:sz w:val="20"/>
              </w:rPr>
              <w:t>65.95</w:t>
            </w:r>
          </w:p>
        </w:tc>
        <w:tc>
          <w:tcPr>
            <w:tcW w:w="1944" w:type="dxa"/>
            <w:tcBorders>
              <w:top w:val="single" w:sz="4" w:space="0" w:color="E9ECEF"/>
              <w:left w:val="single" w:sz="4" w:space="0" w:color="E9ECEF"/>
              <w:bottom w:val="single" w:sz="4" w:space="0" w:color="E9ECEF"/>
              <w:right w:val="single" w:sz="4" w:space="0" w:color="E9ECEF"/>
            </w:tcBorders>
            <w:shd w:val="clear" w:color="auto" w:fill="F8F9FA"/>
          </w:tcPr>
          <w:p w14:paraId="65B6B741" w14:textId="77777777" w:rsidR="009A2986" w:rsidRDefault="00000000">
            <w:pPr>
              <w:spacing w:before="40" w:after="40"/>
              <w:jc w:val="right"/>
              <w:rPr>
                <w:rFonts w:hint="eastAsia"/>
              </w:rPr>
            </w:pPr>
            <w:r>
              <w:rPr>
                <w:sz w:val="20"/>
              </w:rPr>
              <w:t>$9,892.50</w:t>
            </w:r>
          </w:p>
        </w:tc>
      </w:tr>
      <w:tr w:rsidR="009A2986" w14:paraId="252758EB" w14:textId="77777777">
        <w:tc>
          <w:tcPr>
            <w:tcW w:w="3888" w:type="dxa"/>
            <w:tcBorders>
              <w:top w:val="single" w:sz="4" w:space="0" w:color="E9ECEF"/>
              <w:left w:val="single" w:sz="4" w:space="0" w:color="E9ECEF"/>
              <w:bottom w:val="single" w:sz="4" w:space="0" w:color="E9ECEF"/>
              <w:right w:val="single" w:sz="4" w:space="0" w:color="E9ECEF"/>
            </w:tcBorders>
          </w:tcPr>
          <w:p w14:paraId="1C33056E" w14:textId="77777777" w:rsidR="009A2986" w:rsidRDefault="00000000">
            <w:pPr>
              <w:spacing w:before="40" w:after="40"/>
              <w:rPr>
                <w:rFonts w:hint="eastAsia"/>
              </w:rPr>
            </w:pPr>
            <w:r>
              <w:rPr>
                <w:sz w:val="20"/>
              </w:rPr>
              <w:t>OneDrive / SharePoint data migration</w:t>
            </w:r>
          </w:p>
        </w:tc>
        <w:tc>
          <w:tcPr>
            <w:tcW w:w="1224" w:type="dxa"/>
            <w:tcBorders>
              <w:top w:val="single" w:sz="4" w:space="0" w:color="E9ECEF"/>
              <w:left w:val="single" w:sz="4" w:space="0" w:color="E9ECEF"/>
              <w:bottom w:val="single" w:sz="4" w:space="0" w:color="E9ECEF"/>
              <w:right w:val="single" w:sz="4" w:space="0" w:color="E9ECEF"/>
            </w:tcBorders>
          </w:tcPr>
          <w:p w14:paraId="6C640647" w14:textId="77777777" w:rsidR="009A2986" w:rsidRDefault="00000000">
            <w:pPr>
              <w:spacing w:before="40" w:after="40"/>
              <w:jc w:val="right"/>
              <w:rPr>
                <w:rFonts w:hint="eastAsia"/>
              </w:rPr>
            </w:pPr>
            <w:r>
              <w:rPr>
                <w:sz w:val="20"/>
              </w:rPr>
              <w:t>60.49</w:t>
            </w:r>
          </w:p>
        </w:tc>
        <w:tc>
          <w:tcPr>
            <w:tcW w:w="1224" w:type="dxa"/>
            <w:tcBorders>
              <w:top w:val="single" w:sz="4" w:space="0" w:color="E9ECEF"/>
              <w:left w:val="single" w:sz="4" w:space="0" w:color="E9ECEF"/>
              <w:bottom w:val="single" w:sz="4" w:space="0" w:color="E9ECEF"/>
              <w:right w:val="single" w:sz="4" w:space="0" w:color="E9ECEF"/>
            </w:tcBorders>
          </w:tcPr>
          <w:p w14:paraId="5451D045" w14:textId="77777777" w:rsidR="009A2986" w:rsidRDefault="00000000">
            <w:pPr>
              <w:spacing w:before="40" w:after="40"/>
              <w:jc w:val="right"/>
              <w:rPr>
                <w:rFonts w:hint="eastAsia"/>
              </w:rPr>
            </w:pPr>
            <w:r>
              <w:rPr>
                <w:sz w:val="20"/>
              </w:rPr>
              <w:t>5.00</w:t>
            </w:r>
          </w:p>
        </w:tc>
        <w:tc>
          <w:tcPr>
            <w:tcW w:w="1224" w:type="dxa"/>
            <w:tcBorders>
              <w:top w:val="single" w:sz="4" w:space="0" w:color="E9ECEF"/>
              <w:left w:val="single" w:sz="4" w:space="0" w:color="E9ECEF"/>
              <w:bottom w:val="single" w:sz="4" w:space="0" w:color="E9ECEF"/>
              <w:right w:val="single" w:sz="4" w:space="0" w:color="E9ECEF"/>
            </w:tcBorders>
          </w:tcPr>
          <w:p w14:paraId="61AFD848" w14:textId="77777777" w:rsidR="009A2986" w:rsidRDefault="00000000">
            <w:pPr>
              <w:spacing w:before="40" w:after="40"/>
              <w:jc w:val="right"/>
              <w:rPr>
                <w:rFonts w:hint="eastAsia"/>
              </w:rPr>
            </w:pPr>
            <w:r>
              <w:rPr>
                <w:sz w:val="20"/>
              </w:rPr>
              <w:t>65.49</w:t>
            </w:r>
          </w:p>
        </w:tc>
        <w:tc>
          <w:tcPr>
            <w:tcW w:w="1944" w:type="dxa"/>
            <w:tcBorders>
              <w:top w:val="single" w:sz="4" w:space="0" w:color="E9ECEF"/>
              <w:left w:val="single" w:sz="4" w:space="0" w:color="E9ECEF"/>
              <w:bottom w:val="single" w:sz="4" w:space="0" w:color="E9ECEF"/>
              <w:right w:val="single" w:sz="4" w:space="0" w:color="E9ECEF"/>
            </w:tcBorders>
          </w:tcPr>
          <w:p w14:paraId="32092D9B" w14:textId="77777777" w:rsidR="009A2986" w:rsidRDefault="00000000">
            <w:pPr>
              <w:spacing w:before="40" w:after="40"/>
              <w:jc w:val="right"/>
              <w:rPr>
                <w:rFonts w:hint="eastAsia"/>
              </w:rPr>
            </w:pPr>
            <w:r>
              <w:rPr>
                <w:sz w:val="20"/>
              </w:rPr>
              <w:t>$9,823.50</w:t>
            </w:r>
          </w:p>
        </w:tc>
      </w:tr>
      <w:tr w:rsidR="009A2986" w14:paraId="73C9A158" w14:textId="77777777">
        <w:tc>
          <w:tcPr>
            <w:tcW w:w="3888" w:type="dxa"/>
            <w:tcBorders>
              <w:top w:val="single" w:sz="4" w:space="0" w:color="E9ECEF"/>
              <w:left w:val="single" w:sz="4" w:space="0" w:color="E9ECEF"/>
              <w:bottom w:val="single" w:sz="4" w:space="0" w:color="E9ECEF"/>
              <w:right w:val="single" w:sz="4" w:space="0" w:color="E9ECEF"/>
            </w:tcBorders>
            <w:shd w:val="clear" w:color="auto" w:fill="F8F9FA"/>
          </w:tcPr>
          <w:p w14:paraId="718AFF64" w14:textId="77777777" w:rsidR="009A2986" w:rsidRDefault="00000000">
            <w:pPr>
              <w:spacing w:before="40" w:after="40"/>
              <w:rPr>
                <w:rFonts w:hint="eastAsia"/>
              </w:rPr>
            </w:pPr>
            <w:r>
              <w:rPr>
                <w:sz w:val="20"/>
              </w:rPr>
              <w:t>Backup / Veeam / Replication projects</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7C749F3A" w14:textId="77777777" w:rsidR="009A2986" w:rsidRDefault="00000000">
            <w:pPr>
              <w:spacing w:before="40" w:after="40"/>
              <w:jc w:val="right"/>
              <w:rPr>
                <w:rFonts w:hint="eastAsia"/>
              </w:rPr>
            </w:pPr>
            <w:r>
              <w:rPr>
                <w:sz w:val="20"/>
              </w:rPr>
              <w:t>31.39</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210D76AC" w14:textId="77777777" w:rsidR="009A2986" w:rsidRDefault="00000000">
            <w:pPr>
              <w:spacing w:before="40" w:after="40"/>
              <w:jc w:val="right"/>
              <w:rPr>
                <w:rFonts w:hint="eastAsia"/>
              </w:rPr>
            </w:pPr>
            <w:r>
              <w:rPr>
                <w:sz w:val="20"/>
              </w:rPr>
              <w:t>2.00</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1C8E6F0A" w14:textId="77777777" w:rsidR="009A2986" w:rsidRDefault="00000000">
            <w:pPr>
              <w:spacing w:before="40" w:after="40"/>
              <w:jc w:val="right"/>
              <w:rPr>
                <w:rFonts w:hint="eastAsia"/>
              </w:rPr>
            </w:pPr>
            <w:r>
              <w:rPr>
                <w:sz w:val="20"/>
              </w:rPr>
              <w:t>33.39</w:t>
            </w:r>
          </w:p>
        </w:tc>
        <w:tc>
          <w:tcPr>
            <w:tcW w:w="1944" w:type="dxa"/>
            <w:tcBorders>
              <w:top w:val="single" w:sz="4" w:space="0" w:color="E9ECEF"/>
              <w:left w:val="single" w:sz="4" w:space="0" w:color="E9ECEF"/>
              <w:bottom w:val="single" w:sz="4" w:space="0" w:color="E9ECEF"/>
              <w:right w:val="single" w:sz="4" w:space="0" w:color="E9ECEF"/>
            </w:tcBorders>
            <w:shd w:val="clear" w:color="auto" w:fill="F8F9FA"/>
          </w:tcPr>
          <w:p w14:paraId="1F46A235" w14:textId="77777777" w:rsidR="009A2986" w:rsidRDefault="00000000">
            <w:pPr>
              <w:spacing w:before="40" w:after="40"/>
              <w:jc w:val="right"/>
              <w:rPr>
                <w:rFonts w:hint="eastAsia"/>
              </w:rPr>
            </w:pPr>
            <w:r>
              <w:rPr>
                <w:sz w:val="20"/>
              </w:rPr>
              <w:t>$5,008.50</w:t>
            </w:r>
          </w:p>
        </w:tc>
      </w:tr>
      <w:tr w:rsidR="009A2986" w14:paraId="2C121FDE" w14:textId="77777777">
        <w:tc>
          <w:tcPr>
            <w:tcW w:w="3888" w:type="dxa"/>
            <w:tcBorders>
              <w:top w:val="single" w:sz="4" w:space="0" w:color="E9ECEF"/>
              <w:left w:val="single" w:sz="4" w:space="0" w:color="E9ECEF"/>
              <w:bottom w:val="single" w:sz="4" w:space="0" w:color="E9ECEF"/>
              <w:right w:val="single" w:sz="4" w:space="0" w:color="E9ECEF"/>
            </w:tcBorders>
          </w:tcPr>
          <w:p w14:paraId="193FA1DC" w14:textId="77777777" w:rsidR="009A2986" w:rsidRDefault="00000000">
            <w:pPr>
              <w:spacing w:before="40" w:after="40"/>
              <w:rPr>
                <w:rFonts w:hint="eastAsia"/>
              </w:rPr>
            </w:pPr>
            <w:r>
              <w:rPr>
                <w:sz w:val="20"/>
              </w:rPr>
              <w:t>Firewall / VPN / Network buildout</w:t>
            </w:r>
          </w:p>
        </w:tc>
        <w:tc>
          <w:tcPr>
            <w:tcW w:w="1224" w:type="dxa"/>
            <w:tcBorders>
              <w:top w:val="single" w:sz="4" w:space="0" w:color="E9ECEF"/>
              <w:left w:val="single" w:sz="4" w:space="0" w:color="E9ECEF"/>
              <w:bottom w:val="single" w:sz="4" w:space="0" w:color="E9ECEF"/>
              <w:right w:val="single" w:sz="4" w:space="0" w:color="E9ECEF"/>
            </w:tcBorders>
          </w:tcPr>
          <w:p w14:paraId="3931362F" w14:textId="77777777" w:rsidR="009A2986" w:rsidRDefault="00000000">
            <w:pPr>
              <w:spacing w:before="40" w:after="40"/>
              <w:jc w:val="right"/>
              <w:rPr>
                <w:rFonts w:hint="eastAsia"/>
              </w:rPr>
            </w:pPr>
            <w:r>
              <w:rPr>
                <w:sz w:val="20"/>
              </w:rPr>
              <w:t>2.00</w:t>
            </w:r>
          </w:p>
        </w:tc>
        <w:tc>
          <w:tcPr>
            <w:tcW w:w="1224" w:type="dxa"/>
            <w:tcBorders>
              <w:top w:val="single" w:sz="4" w:space="0" w:color="E9ECEF"/>
              <w:left w:val="single" w:sz="4" w:space="0" w:color="E9ECEF"/>
              <w:bottom w:val="single" w:sz="4" w:space="0" w:color="E9ECEF"/>
              <w:right w:val="single" w:sz="4" w:space="0" w:color="E9ECEF"/>
            </w:tcBorders>
          </w:tcPr>
          <w:p w14:paraId="2FF88AEF" w14:textId="77777777" w:rsidR="009A2986" w:rsidRDefault="00000000">
            <w:pPr>
              <w:spacing w:before="40" w:after="40"/>
              <w:jc w:val="right"/>
              <w:rPr>
                <w:rFonts w:hint="eastAsia"/>
              </w:rPr>
            </w:pPr>
            <w:r>
              <w:rPr>
                <w:sz w:val="20"/>
              </w:rPr>
              <w:t>16.83</w:t>
            </w:r>
          </w:p>
        </w:tc>
        <w:tc>
          <w:tcPr>
            <w:tcW w:w="1224" w:type="dxa"/>
            <w:tcBorders>
              <w:top w:val="single" w:sz="4" w:space="0" w:color="E9ECEF"/>
              <w:left w:val="single" w:sz="4" w:space="0" w:color="E9ECEF"/>
              <w:bottom w:val="single" w:sz="4" w:space="0" w:color="E9ECEF"/>
              <w:right w:val="single" w:sz="4" w:space="0" w:color="E9ECEF"/>
            </w:tcBorders>
          </w:tcPr>
          <w:p w14:paraId="6CF6AED7" w14:textId="77777777" w:rsidR="009A2986" w:rsidRDefault="00000000">
            <w:pPr>
              <w:spacing w:before="40" w:after="40"/>
              <w:jc w:val="right"/>
              <w:rPr>
                <w:rFonts w:hint="eastAsia"/>
              </w:rPr>
            </w:pPr>
            <w:r>
              <w:rPr>
                <w:sz w:val="20"/>
              </w:rPr>
              <w:t>18.83</w:t>
            </w:r>
          </w:p>
        </w:tc>
        <w:tc>
          <w:tcPr>
            <w:tcW w:w="1944" w:type="dxa"/>
            <w:tcBorders>
              <w:top w:val="single" w:sz="4" w:space="0" w:color="E9ECEF"/>
              <w:left w:val="single" w:sz="4" w:space="0" w:color="E9ECEF"/>
              <w:bottom w:val="single" w:sz="4" w:space="0" w:color="E9ECEF"/>
              <w:right w:val="single" w:sz="4" w:space="0" w:color="E9ECEF"/>
            </w:tcBorders>
          </w:tcPr>
          <w:p w14:paraId="4E9E5AE7" w14:textId="77777777" w:rsidR="009A2986" w:rsidRDefault="00000000">
            <w:pPr>
              <w:spacing w:before="40" w:after="40"/>
              <w:jc w:val="right"/>
              <w:rPr>
                <w:rFonts w:hint="eastAsia"/>
              </w:rPr>
            </w:pPr>
            <w:r>
              <w:rPr>
                <w:sz w:val="20"/>
              </w:rPr>
              <w:t>$2,824.50</w:t>
            </w:r>
          </w:p>
        </w:tc>
      </w:tr>
      <w:tr w:rsidR="009A2986" w14:paraId="0E9DA7CE" w14:textId="77777777">
        <w:tc>
          <w:tcPr>
            <w:tcW w:w="3888" w:type="dxa"/>
            <w:tcBorders>
              <w:top w:val="single" w:sz="4" w:space="0" w:color="E9ECEF"/>
              <w:left w:val="single" w:sz="4" w:space="0" w:color="E9ECEF"/>
              <w:bottom w:val="single" w:sz="4" w:space="0" w:color="E9ECEF"/>
              <w:right w:val="single" w:sz="4" w:space="0" w:color="E9ECEF"/>
            </w:tcBorders>
            <w:shd w:val="clear" w:color="auto" w:fill="F8F9FA"/>
          </w:tcPr>
          <w:p w14:paraId="4E5D5A38" w14:textId="77777777" w:rsidR="009A2986" w:rsidRDefault="00000000">
            <w:pPr>
              <w:spacing w:before="40" w:after="40"/>
              <w:rPr>
                <w:rFonts w:hint="eastAsia"/>
              </w:rPr>
            </w:pPr>
            <w:r>
              <w:rPr>
                <w:sz w:val="20"/>
              </w:rPr>
              <w:t>File server / data migration</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6E5AF6A0" w14:textId="77777777" w:rsidR="009A2986" w:rsidRDefault="00000000">
            <w:pPr>
              <w:spacing w:before="40" w:after="40"/>
              <w:jc w:val="right"/>
              <w:rPr>
                <w:rFonts w:hint="eastAsia"/>
              </w:rPr>
            </w:pPr>
            <w:r>
              <w:rPr>
                <w:sz w:val="20"/>
              </w:rPr>
              <w:t>8.50</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32B441A0" w14:textId="77777777" w:rsidR="009A2986" w:rsidRDefault="00000000">
            <w:pPr>
              <w:spacing w:before="40" w:after="40"/>
              <w:jc w:val="right"/>
              <w:rPr>
                <w:rFonts w:hint="eastAsia"/>
              </w:rPr>
            </w:pPr>
            <w:r>
              <w:rPr>
                <w:sz w:val="20"/>
              </w:rPr>
              <w:t>5.00</w:t>
            </w:r>
          </w:p>
        </w:tc>
        <w:tc>
          <w:tcPr>
            <w:tcW w:w="1224" w:type="dxa"/>
            <w:tcBorders>
              <w:top w:val="single" w:sz="4" w:space="0" w:color="E9ECEF"/>
              <w:left w:val="single" w:sz="4" w:space="0" w:color="E9ECEF"/>
              <w:bottom w:val="single" w:sz="4" w:space="0" w:color="E9ECEF"/>
              <w:right w:val="single" w:sz="4" w:space="0" w:color="E9ECEF"/>
            </w:tcBorders>
            <w:shd w:val="clear" w:color="auto" w:fill="F8F9FA"/>
          </w:tcPr>
          <w:p w14:paraId="4846675F" w14:textId="77777777" w:rsidR="009A2986" w:rsidRDefault="00000000">
            <w:pPr>
              <w:spacing w:before="40" w:after="40"/>
              <w:jc w:val="right"/>
              <w:rPr>
                <w:rFonts w:hint="eastAsia"/>
              </w:rPr>
            </w:pPr>
            <w:r>
              <w:rPr>
                <w:sz w:val="20"/>
              </w:rPr>
              <w:t>13.50</w:t>
            </w:r>
          </w:p>
        </w:tc>
        <w:tc>
          <w:tcPr>
            <w:tcW w:w="1944" w:type="dxa"/>
            <w:tcBorders>
              <w:top w:val="single" w:sz="4" w:space="0" w:color="E9ECEF"/>
              <w:left w:val="single" w:sz="4" w:space="0" w:color="E9ECEF"/>
              <w:bottom w:val="single" w:sz="4" w:space="0" w:color="E9ECEF"/>
              <w:right w:val="single" w:sz="4" w:space="0" w:color="E9ECEF"/>
            </w:tcBorders>
            <w:shd w:val="clear" w:color="auto" w:fill="F8F9FA"/>
          </w:tcPr>
          <w:p w14:paraId="4FF895F5" w14:textId="77777777" w:rsidR="009A2986" w:rsidRDefault="00000000">
            <w:pPr>
              <w:spacing w:before="40" w:after="40"/>
              <w:jc w:val="right"/>
              <w:rPr>
                <w:rFonts w:hint="eastAsia"/>
              </w:rPr>
            </w:pPr>
            <w:r>
              <w:rPr>
                <w:sz w:val="20"/>
              </w:rPr>
              <w:t>$2,025.00</w:t>
            </w:r>
          </w:p>
        </w:tc>
      </w:tr>
      <w:tr w:rsidR="009A2986" w14:paraId="2EA12593" w14:textId="77777777">
        <w:tc>
          <w:tcPr>
            <w:tcW w:w="3888" w:type="dxa"/>
            <w:tcBorders>
              <w:top w:val="single" w:sz="4" w:space="0" w:color="E9ECEF"/>
              <w:left w:val="single" w:sz="4" w:space="0" w:color="E9ECEF"/>
              <w:bottom w:val="single" w:sz="4" w:space="0" w:color="E9ECEF"/>
              <w:right w:val="single" w:sz="4" w:space="0" w:color="E9ECEF"/>
            </w:tcBorders>
          </w:tcPr>
          <w:p w14:paraId="513B4E78" w14:textId="77777777" w:rsidR="009A2986" w:rsidRDefault="00000000">
            <w:pPr>
              <w:spacing w:before="40" w:after="40"/>
              <w:rPr>
                <w:rFonts w:hint="eastAsia"/>
              </w:rPr>
            </w:pPr>
            <w:r>
              <w:rPr>
                <w:sz w:val="20"/>
              </w:rPr>
              <w:t>Security / EDR / SSL / MFA rollouts</w:t>
            </w:r>
          </w:p>
        </w:tc>
        <w:tc>
          <w:tcPr>
            <w:tcW w:w="1224" w:type="dxa"/>
            <w:tcBorders>
              <w:top w:val="single" w:sz="4" w:space="0" w:color="E9ECEF"/>
              <w:left w:val="single" w:sz="4" w:space="0" w:color="E9ECEF"/>
              <w:bottom w:val="single" w:sz="4" w:space="0" w:color="E9ECEF"/>
              <w:right w:val="single" w:sz="4" w:space="0" w:color="E9ECEF"/>
            </w:tcBorders>
          </w:tcPr>
          <w:p w14:paraId="6B3E3A1E" w14:textId="77777777" w:rsidR="009A2986" w:rsidRDefault="00000000">
            <w:pPr>
              <w:spacing w:before="40" w:after="40"/>
              <w:jc w:val="right"/>
              <w:rPr>
                <w:rFonts w:hint="eastAsia"/>
              </w:rPr>
            </w:pPr>
            <w:r>
              <w:rPr>
                <w:sz w:val="20"/>
              </w:rPr>
              <w:t>11.50</w:t>
            </w:r>
          </w:p>
        </w:tc>
        <w:tc>
          <w:tcPr>
            <w:tcW w:w="1224" w:type="dxa"/>
            <w:tcBorders>
              <w:top w:val="single" w:sz="4" w:space="0" w:color="E9ECEF"/>
              <w:left w:val="single" w:sz="4" w:space="0" w:color="E9ECEF"/>
              <w:bottom w:val="single" w:sz="4" w:space="0" w:color="E9ECEF"/>
              <w:right w:val="single" w:sz="4" w:space="0" w:color="E9ECEF"/>
            </w:tcBorders>
          </w:tcPr>
          <w:p w14:paraId="4D4879A6" w14:textId="77777777" w:rsidR="009A2986" w:rsidRDefault="00000000">
            <w:pPr>
              <w:spacing w:before="40" w:after="40"/>
              <w:jc w:val="right"/>
              <w:rPr>
                <w:rFonts w:hint="eastAsia"/>
              </w:rPr>
            </w:pPr>
            <w:r>
              <w:rPr>
                <w:sz w:val="20"/>
              </w:rPr>
              <w:t>0.50</w:t>
            </w:r>
          </w:p>
        </w:tc>
        <w:tc>
          <w:tcPr>
            <w:tcW w:w="1224" w:type="dxa"/>
            <w:tcBorders>
              <w:top w:val="single" w:sz="4" w:space="0" w:color="E9ECEF"/>
              <w:left w:val="single" w:sz="4" w:space="0" w:color="E9ECEF"/>
              <w:bottom w:val="single" w:sz="4" w:space="0" w:color="E9ECEF"/>
              <w:right w:val="single" w:sz="4" w:space="0" w:color="E9ECEF"/>
            </w:tcBorders>
          </w:tcPr>
          <w:p w14:paraId="706FACBE" w14:textId="77777777" w:rsidR="009A2986" w:rsidRDefault="00000000">
            <w:pPr>
              <w:spacing w:before="40" w:after="40"/>
              <w:jc w:val="right"/>
              <w:rPr>
                <w:rFonts w:hint="eastAsia"/>
              </w:rPr>
            </w:pPr>
            <w:r>
              <w:rPr>
                <w:sz w:val="20"/>
              </w:rPr>
              <w:t>12.00</w:t>
            </w:r>
          </w:p>
        </w:tc>
        <w:tc>
          <w:tcPr>
            <w:tcW w:w="1944" w:type="dxa"/>
            <w:tcBorders>
              <w:top w:val="single" w:sz="4" w:space="0" w:color="E9ECEF"/>
              <w:left w:val="single" w:sz="4" w:space="0" w:color="E9ECEF"/>
              <w:bottom w:val="single" w:sz="4" w:space="0" w:color="E9ECEF"/>
              <w:right w:val="single" w:sz="4" w:space="0" w:color="E9ECEF"/>
            </w:tcBorders>
          </w:tcPr>
          <w:p w14:paraId="0742F441" w14:textId="77777777" w:rsidR="009A2986" w:rsidRDefault="00000000">
            <w:pPr>
              <w:spacing w:before="40" w:after="40"/>
              <w:jc w:val="right"/>
              <w:rPr>
                <w:rFonts w:hint="eastAsia"/>
              </w:rPr>
            </w:pPr>
            <w:r>
              <w:rPr>
                <w:sz w:val="20"/>
              </w:rPr>
              <w:t>$1,800.00</w:t>
            </w:r>
          </w:p>
        </w:tc>
      </w:tr>
      <w:tr w:rsidR="009A2986" w14:paraId="2CC539AD" w14:textId="77777777">
        <w:tc>
          <w:tcPr>
            <w:tcW w:w="3888" w:type="dxa"/>
            <w:tcBorders>
              <w:top w:val="single" w:sz="4" w:space="0" w:color="E9ECEF"/>
              <w:left w:val="single" w:sz="4" w:space="0" w:color="E9ECEF"/>
              <w:bottom w:val="single" w:sz="4" w:space="0" w:color="E9ECEF"/>
              <w:right w:val="single" w:sz="4" w:space="0" w:color="E9ECEF"/>
            </w:tcBorders>
            <w:shd w:val="clear" w:color="auto" w:fill="E9ECEF"/>
          </w:tcPr>
          <w:p w14:paraId="772B4893" w14:textId="77777777" w:rsidR="009A2986" w:rsidRDefault="00000000">
            <w:pPr>
              <w:spacing w:before="40" w:after="40"/>
              <w:rPr>
                <w:rFonts w:hint="eastAsia"/>
              </w:rPr>
            </w:pPr>
            <w:r>
              <w:rPr>
                <w:b/>
                <w:color w:val="1A1A2E"/>
                <w:sz w:val="20"/>
              </w:rPr>
              <w:t>TOTAL</w:t>
            </w:r>
          </w:p>
        </w:tc>
        <w:tc>
          <w:tcPr>
            <w:tcW w:w="1224" w:type="dxa"/>
            <w:tcBorders>
              <w:top w:val="single" w:sz="4" w:space="0" w:color="E9ECEF"/>
              <w:left w:val="single" w:sz="4" w:space="0" w:color="E9ECEF"/>
              <w:bottom w:val="single" w:sz="4" w:space="0" w:color="E9ECEF"/>
              <w:right w:val="single" w:sz="4" w:space="0" w:color="E9ECEF"/>
            </w:tcBorders>
            <w:shd w:val="clear" w:color="auto" w:fill="E9ECEF"/>
          </w:tcPr>
          <w:p w14:paraId="528C16E1" w14:textId="77777777" w:rsidR="009A2986" w:rsidRDefault="00000000">
            <w:pPr>
              <w:spacing w:before="40" w:after="40"/>
              <w:jc w:val="right"/>
              <w:rPr>
                <w:rFonts w:hint="eastAsia"/>
              </w:rPr>
            </w:pPr>
            <w:r>
              <w:rPr>
                <w:b/>
                <w:color w:val="1A1A2E"/>
                <w:sz w:val="20"/>
              </w:rPr>
              <w:t>435.39</w:t>
            </w:r>
          </w:p>
        </w:tc>
        <w:tc>
          <w:tcPr>
            <w:tcW w:w="1224" w:type="dxa"/>
            <w:tcBorders>
              <w:top w:val="single" w:sz="4" w:space="0" w:color="E9ECEF"/>
              <w:left w:val="single" w:sz="4" w:space="0" w:color="E9ECEF"/>
              <w:bottom w:val="single" w:sz="4" w:space="0" w:color="E9ECEF"/>
              <w:right w:val="single" w:sz="4" w:space="0" w:color="E9ECEF"/>
            </w:tcBorders>
            <w:shd w:val="clear" w:color="auto" w:fill="E9ECEF"/>
          </w:tcPr>
          <w:p w14:paraId="635689BB" w14:textId="77777777" w:rsidR="009A2986" w:rsidRDefault="00000000">
            <w:pPr>
              <w:spacing w:before="40" w:after="40"/>
              <w:jc w:val="right"/>
              <w:rPr>
                <w:rFonts w:hint="eastAsia"/>
              </w:rPr>
            </w:pPr>
            <w:r>
              <w:rPr>
                <w:b/>
                <w:color w:val="1A1A2E"/>
                <w:sz w:val="20"/>
              </w:rPr>
              <w:t>152.95</w:t>
            </w:r>
          </w:p>
        </w:tc>
        <w:tc>
          <w:tcPr>
            <w:tcW w:w="1224" w:type="dxa"/>
            <w:tcBorders>
              <w:top w:val="single" w:sz="4" w:space="0" w:color="E9ECEF"/>
              <w:left w:val="single" w:sz="4" w:space="0" w:color="E9ECEF"/>
              <w:bottom w:val="single" w:sz="4" w:space="0" w:color="E9ECEF"/>
              <w:right w:val="single" w:sz="4" w:space="0" w:color="E9ECEF"/>
            </w:tcBorders>
            <w:shd w:val="clear" w:color="auto" w:fill="E9ECEF"/>
          </w:tcPr>
          <w:p w14:paraId="09EEBC87" w14:textId="77777777" w:rsidR="009A2986" w:rsidRDefault="00000000">
            <w:pPr>
              <w:spacing w:before="40" w:after="40"/>
              <w:jc w:val="right"/>
              <w:rPr>
                <w:rFonts w:hint="eastAsia"/>
              </w:rPr>
            </w:pPr>
            <w:r>
              <w:rPr>
                <w:b/>
                <w:color w:val="1A1A2E"/>
                <w:sz w:val="20"/>
              </w:rPr>
              <w:t>588.34</w:t>
            </w:r>
          </w:p>
        </w:tc>
        <w:tc>
          <w:tcPr>
            <w:tcW w:w="1944" w:type="dxa"/>
            <w:tcBorders>
              <w:top w:val="single" w:sz="4" w:space="0" w:color="E9ECEF"/>
              <w:left w:val="single" w:sz="4" w:space="0" w:color="E9ECEF"/>
              <w:bottom w:val="single" w:sz="4" w:space="0" w:color="E9ECEF"/>
              <w:right w:val="single" w:sz="4" w:space="0" w:color="E9ECEF"/>
            </w:tcBorders>
            <w:shd w:val="clear" w:color="auto" w:fill="E9ECEF"/>
          </w:tcPr>
          <w:p w14:paraId="26C3489B" w14:textId="77777777" w:rsidR="009A2986" w:rsidRDefault="00000000">
            <w:pPr>
              <w:spacing w:before="40" w:after="40"/>
              <w:jc w:val="right"/>
              <w:rPr>
                <w:rFonts w:hint="eastAsia"/>
              </w:rPr>
            </w:pPr>
            <w:r>
              <w:rPr>
                <w:b/>
                <w:color w:val="1A1A2E"/>
                <w:sz w:val="20"/>
              </w:rPr>
              <w:t>$88,251.00</w:t>
            </w:r>
          </w:p>
        </w:tc>
      </w:tr>
    </w:tbl>
    <w:p w14:paraId="254273BF" w14:textId="77777777" w:rsidR="009A2986" w:rsidRDefault="009A2986">
      <w:pPr>
        <w:rPr>
          <w:rFonts w:hint="eastAsia"/>
        </w:rPr>
      </w:pPr>
    </w:p>
    <w:p w14:paraId="015F2E52" w14:textId="77777777" w:rsidR="009A2986" w:rsidRDefault="00000000">
      <w:pPr>
        <w:spacing w:after="160"/>
        <w:rPr>
          <w:rFonts w:hint="eastAsia"/>
        </w:rPr>
      </w:pPr>
      <w:r>
        <w:rPr>
          <w:sz w:val="20"/>
        </w:rPr>
        <w:t>Every row above represents real, named deliverables found in the portal ticket record. Full ticket-level detail is available in the attached project-candidate-tickets.csv (588 rows, every one date-stamped, with requestor, role, and hours).</w:t>
      </w:r>
    </w:p>
    <w:p w14:paraId="3B80C1A7" w14:textId="77777777" w:rsidR="009A2986" w:rsidRDefault="00000000">
      <w:pPr>
        <w:rPr>
          <w:rFonts w:hint="eastAsia"/>
        </w:rPr>
      </w:pPr>
      <w:r>
        <w:br w:type="page"/>
      </w:r>
    </w:p>
    <w:tbl>
      <w:tblPr>
        <w:tblW w:w="0" w:type="auto"/>
        <w:tblLayout w:type="fixed"/>
        <w:tblLook w:val="04A0" w:firstRow="1" w:lastRow="0" w:firstColumn="1" w:lastColumn="0" w:noHBand="0" w:noVBand="1"/>
      </w:tblPr>
      <w:tblGrid>
        <w:gridCol w:w="236"/>
        <w:gridCol w:w="8976"/>
      </w:tblGrid>
      <w:tr w:rsidR="009A2986" w14:paraId="77BDCF12" w14:textId="77777777">
        <w:tc>
          <w:tcPr>
            <w:tcW w:w="94" w:type="dxa"/>
            <w:tcBorders>
              <w:top w:val="nil"/>
              <w:left w:val="nil"/>
              <w:bottom w:val="nil"/>
              <w:right w:val="nil"/>
            </w:tcBorders>
            <w:shd w:val="clear" w:color="auto" w:fill="006DB6"/>
            <w:vAlign w:val="center"/>
          </w:tcPr>
          <w:p w14:paraId="5591F08B" w14:textId="77777777" w:rsidR="009A2986" w:rsidRDefault="009A2986">
            <w:pPr>
              <w:rPr>
                <w:rFonts w:hint="eastAsia"/>
              </w:rPr>
            </w:pPr>
          </w:p>
        </w:tc>
        <w:tc>
          <w:tcPr>
            <w:tcW w:w="8976" w:type="dxa"/>
            <w:tcBorders>
              <w:top w:val="nil"/>
              <w:left w:val="nil"/>
              <w:bottom w:val="nil"/>
              <w:right w:val="nil"/>
            </w:tcBorders>
          </w:tcPr>
          <w:p w14:paraId="5AC5F7BC" w14:textId="77777777" w:rsidR="009A2986" w:rsidRDefault="00000000">
            <w:pPr>
              <w:spacing w:before="80" w:after="80"/>
              <w:rPr>
                <w:rFonts w:hint="eastAsia"/>
              </w:rPr>
            </w:pPr>
            <w:r>
              <w:rPr>
                <w:b/>
                <w:color w:val="006DB6"/>
                <w:sz w:val="28"/>
              </w:rPr>
              <w:t xml:space="preserve">  Where the Labor Came From</w:t>
            </w:r>
          </w:p>
        </w:tc>
      </w:tr>
    </w:tbl>
    <w:p w14:paraId="47BDD555" w14:textId="77777777" w:rsidR="009A2986" w:rsidRDefault="009A2986">
      <w:pPr>
        <w:rPr>
          <w:rFonts w:hint="eastAsia"/>
        </w:rPr>
      </w:pPr>
    </w:p>
    <w:p w14:paraId="58ADF804" w14:textId="77777777" w:rsidR="009A2986" w:rsidRDefault="00000000">
      <w:pPr>
        <w:spacing w:after="160"/>
        <w:rPr>
          <w:rFonts w:hint="eastAsia"/>
        </w:rPr>
      </w:pPr>
      <w:r>
        <w:t>The contract's $150/hr proposal rate is the same whether the work is delivered from the India or USA pod. For BWH specifically, the India pod carried the majority of the project workload:</w:t>
      </w:r>
    </w:p>
    <w:p w14:paraId="25109F00" w14:textId="77777777" w:rsidR="009A2986" w:rsidRDefault="009A2986">
      <w:pPr>
        <w:rPr>
          <w:rFonts w:hint="eastAsia"/>
        </w:rPr>
      </w:pPr>
    </w:p>
    <w:tbl>
      <w:tblPr>
        <w:tblW w:w="0" w:type="auto"/>
        <w:tblLayout w:type="fixed"/>
        <w:tblLook w:val="04A0" w:firstRow="1" w:lastRow="0" w:firstColumn="1" w:lastColumn="0" w:noHBand="0" w:noVBand="1"/>
      </w:tblPr>
      <w:tblGrid>
        <w:gridCol w:w="3120"/>
        <w:gridCol w:w="3120"/>
        <w:gridCol w:w="3120"/>
      </w:tblGrid>
      <w:tr w:rsidR="009A2986" w14:paraId="44E54648" w14:textId="77777777">
        <w:tc>
          <w:tcPr>
            <w:tcW w:w="3120" w:type="dxa"/>
            <w:tcBorders>
              <w:top w:val="nil"/>
              <w:left w:val="nil"/>
              <w:bottom w:val="nil"/>
              <w:right w:val="nil"/>
            </w:tcBorders>
            <w:shd w:val="clear" w:color="auto" w:fill="F8F9FA"/>
          </w:tcPr>
          <w:p w14:paraId="09B08BE9" w14:textId="77777777" w:rsidR="009A2986" w:rsidRDefault="00000000">
            <w:pPr>
              <w:spacing w:before="240" w:after="0"/>
              <w:jc w:val="center"/>
              <w:rPr>
                <w:rFonts w:hint="eastAsia"/>
              </w:rPr>
            </w:pPr>
            <w:r>
              <w:rPr>
                <w:b/>
                <w:color w:val="006DB6"/>
                <w:sz w:val="52"/>
              </w:rPr>
              <w:t>435.4</w:t>
            </w:r>
          </w:p>
          <w:p w14:paraId="54F41301" w14:textId="77777777" w:rsidR="009A2986" w:rsidRDefault="00000000">
            <w:pPr>
              <w:spacing w:after="240"/>
              <w:jc w:val="center"/>
              <w:rPr>
                <w:rFonts w:hint="eastAsia"/>
              </w:rPr>
            </w:pPr>
            <w:r>
              <w:rPr>
                <w:sz w:val="20"/>
              </w:rPr>
              <w:t>India Hours (74%)</w:t>
            </w:r>
          </w:p>
        </w:tc>
        <w:tc>
          <w:tcPr>
            <w:tcW w:w="3120" w:type="dxa"/>
            <w:tcBorders>
              <w:top w:val="nil"/>
              <w:left w:val="nil"/>
              <w:bottom w:val="nil"/>
              <w:right w:val="nil"/>
            </w:tcBorders>
            <w:shd w:val="clear" w:color="auto" w:fill="F8F9FA"/>
          </w:tcPr>
          <w:p w14:paraId="3289F165" w14:textId="77777777" w:rsidR="009A2986" w:rsidRDefault="00000000">
            <w:pPr>
              <w:spacing w:before="240" w:after="0"/>
              <w:jc w:val="center"/>
              <w:rPr>
                <w:rFonts w:hint="eastAsia"/>
              </w:rPr>
            </w:pPr>
            <w:r>
              <w:rPr>
                <w:b/>
                <w:color w:val="1EAAC8"/>
                <w:sz w:val="52"/>
              </w:rPr>
              <w:t>152.9</w:t>
            </w:r>
          </w:p>
          <w:p w14:paraId="70FE75F9" w14:textId="77777777" w:rsidR="009A2986" w:rsidRDefault="00000000">
            <w:pPr>
              <w:spacing w:after="240"/>
              <w:jc w:val="center"/>
              <w:rPr>
                <w:rFonts w:hint="eastAsia"/>
              </w:rPr>
            </w:pPr>
            <w:r>
              <w:rPr>
                <w:sz w:val="20"/>
              </w:rPr>
              <w:t>USA Hours (26%)</w:t>
            </w:r>
          </w:p>
        </w:tc>
        <w:tc>
          <w:tcPr>
            <w:tcW w:w="3120" w:type="dxa"/>
            <w:tcBorders>
              <w:top w:val="nil"/>
              <w:left w:val="nil"/>
              <w:bottom w:val="nil"/>
              <w:right w:val="nil"/>
            </w:tcBorders>
            <w:shd w:val="clear" w:color="auto" w:fill="F8F9FA"/>
          </w:tcPr>
          <w:p w14:paraId="6D00B9D4" w14:textId="77777777" w:rsidR="009A2986" w:rsidRDefault="00000000">
            <w:pPr>
              <w:spacing w:before="240" w:after="0"/>
              <w:jc w:val="center"/>
              <w:rPr>
                <w:rFonts w:hint="eastAsia"/>
              </w:rPr>
            </w:pPr>
            <w:r>
              <w:rPr>
                <w:b/>
                <w:color w:val="F67D4B"/>
                <w:sz w:val="52"/>
              </w:rPr>
              <w:t>$65,308</w:t>
            </w:r>
          </w:p>
          <w:p w14:paraId="4FE5FB44" w14:textId="77777777" w:rsidR="009A2986" w:rsidRDefault="00000000">
            <w:pPr>
              <w:spacing w:after="240"/>
              <w:jc w:val="center"/>
              <w:rPr>
                <w:rFonts w:hint="eastAsia"/>
              </w:rPr>
            </w:pPr>
            <w:r>
              <w:rPr>
                <w:sz w:val="20"/>
              </w:rPr>
              <w:t>India proposal value</w:t>
            </w:r>
          </w:p>
        </w:tc>
      </w:tr>
    </w:tbl>
    <w:p w14:paraId="2AC6052F" w14:textId="77777777" w:rsidR="009A2986" w:rsidRDefault="009A2986">
      <w:pPr>
        <w:rPr>
          <w:rFonts w:hint="eastAsia"/>
        </w:rPr>
      </w:pPr>
    </w:p>
    <w:p w14:paraId="09C1AB6D" w14:textId="77777777" w:rsidR="009A2986" w:rsidRDefault="00000000">
      <w:pPr>
        <w:spacing w:after="160"/>
        <w:rPr>
          <w:rFonts w:hint="eastAsia"/>
        </w:rPr>
      </w:pPr>
      <w:r>
        <w:t>A standard proposal SOW would not have discounted the India-delivered portion; the contract rate is flat. That is why 74% of the avoided-proposal value ($65,309) corresponds to India-delivered project hours that, in a traditional project-billing model, BWH would have been invoiced for at the same $150 rate as U.S. hours.</w:t>
      </w:r>
    </w:p>
    <w:p w14:paraId="65DA35C9" w14:textId="77777777" w:rsidR="009A2986" w:rsidRDefault="00000000">
      <w:pPr>
        <w:rPr>
          <w:rFonts w:hint="eastAsia"/>
        </w:rPr>
      </w:pPr>
      <w:r>
        <w:br w:type="page"/>
      </w:r>
    </w:p>
    <w:tbl>
      <w:tblPr>
        <w:tblW w:w="0" w:type="auto"/>
        <w:tblLayout w:type="fixed"/>
        <w:tblLook w:val="04A0" w:firstRow="1" w:lastRow="0" w:firstColumn="1" w:lastColumn="0" w:noHBand="0" w:noVBand="1"/>
      </w:tblPr>
      <w:tblGrid>
        <w:gridCol w:w="236"/>
        <w:gridCol w:w="8976"/>
      </w:tblGrid>
      <w:tr w:rsidR="009A2986" w14:paraId="09F53115" w14:textId="77777777">
        <w:tc>
          <w:tcPr>
            <w:tcW w:w="94" w:type="dxa"/>
            <w:tcBorders>
              <w:top w:val="nil"/>
              <w:left w:val="nil"/>
              <w:bottom w:val="nil"/>
              <w:right w:val="nil"/>
            </w:tcBorders>
            <w:shd w:val="clear" w:color="auto" w:fill="F67D4B"/>
            <w:vAlign w:val="center"/>
          </w:tcPr>
          <w:p w14:paraId="7F4E3AE7" w14:textId="77777777" w:rsidR="009A2986" w:rsidRDefault="009A2986">
            <w:pPr>
              <w:rPr>
                <w:rFonts w:hint="eastAsia"/>
              </w:rPr>
            </w:pPr>
          </w:p>
        </w:tc>
        <w:tc>
          <w:tcPr>
            <w:tcW w:w="8976" w:type="dxa"/>
            <w:tcBorders>
              <w:top w:val="nil"/>
              <w:left w:val="nil"/>
              <w:bottom w:val="nil"/>
              <w:right w:val="nil"/>
            </w:tcBorders>
          </w:tcPr>
          <w:p w14:paraId="7736BCC8" w14:textId="77777777" w:rsidR="009A2986" w:rsidRDefault="00000000">
            <w:pPr>
              <w:spacing w:before="80" w:after="80"/>
              <w:rPr>
                <w:rFonts w:hint="eastAsia"/>
              </w:rPr>
            </w:pPr>
            <w:r>
              <w:rPr>
                <w:b/>
                <w:color w:val="F67D4B"/>
                <w:sz w:val="28"/>
              </w:rPr>
              <w:t xml:space="preserve">  What Each Project Actually Was</w:t>
            </w:r>
          </w:p>
        </w:tc>
      </w:tr>
    </w:tbl>
    <w:p w14:paraId="1E689FD0" w14:textId="77777777" w:rsidR="009A2986" w:rsidRDefault="009A2986">
      <w:pPr>
        <w:rPr>
          <w:rFonts w:hint="eastAsia"/>
        </w:rPr>
      </w:pPr>
    </w:p>
    <w:p w14:paraId="2EC7B658" w14:textId="77777777" w:rsidR="009A2986" w:rsidRDefault="00000000">
      <w:pPr>
        <w:spacing w:after="160"/>
        <w:rPr>
          <w:rFonts w:hint="eastAsia"/>
        </w:rPr>
      </w:pPr>
      <w:r>
        <w:rPr>
          <w:b/>
          <w:color w:val="1A1A2E"/>
          <w:sz w:val="24"/>
        </w:rPr>
        <w:t>NewStar ERP Upgrades — 188.26 hrs — $28,239</w:t>
      </w:r>
    </w:p>
    <w:p w14:paraId="3EAB2842" w14:textId="77777777" w:rsidR="009A2986" w:rsidRDefault="00000000">
      <w:pPr>
        <w:spacing w:after="160"/>
        <w:rPr>
          <w:rFonts w:hint="eastAsia"/>
        </w:rPr>
      </w:pPr>
      <w:r>
        <w:rPr>
          <w:sz w:val="21"/>
        </w:rPr>
        <w:t>Multiple rounds of NewStar ERP upgrade work: the original 'NewStar upgrade project' thread (Nov 2023 → Feb 2024, 18+ hours), the 'Updating NewStar batches to 2023 version' work (Mar–Apr 2024), the 'NewStar upgrade needed' push in Aug 2024, and continuous NewStar configuration/login/integration support. Under a proposal model, each upgrade wave would have been a separate SOW.</w:t>
      </w:r>
    </w:p>
    <w:p w14:paraId="47344118" w14:textId="77777777" w:rsidR="009A2986" w:rsidRDefault="00000000">
      <w:pPr>
        <w:spacing w:after="160"/>
        <w:rPr>
          <w:rFonts w:hint="eastAsia"/>
        </w:rPr>
      </w:pPr>
      <w:r>
        <w:rPr>
          <w:b/>
          <w:color w:val="1A1A2E"/>
          <w:sz w:val="24"/>
        </w:rPr>
        <w:t>RMM / Tooling Install on New Machines — 103.37 hrs — $15,505</w:t>
      </w:r>
    </w:p>
    <w:p w14:paraId="3AB21CBF" w14:textId="77777777" w:rsidR="009A2986" w:rsidRDefault="00000000">
      <w:pPr>
        <w:spacing w:after="160"/>
        <w:rPr>
          <w:rFonts w:hint="eastAsia"/>
        </w:rPr>
      </w:pPr>
      <w:r>
        <w:rPr>
          <w:sz w:val="21"/>
        </w:rPr>
        <w:t>Technijian Tools installation, MyRMM/ManageEngine agent provisioning, Passportal agent configuration, SNMP setup, and Network Detective scans across the BWH fleet. Typically scoped as 'new device onboarding' at ~1.5 hrs/device, this would normally be quoted per batch.</w:t>
      </w:r>
    </w:p>
    <w:p w14:paraId="5E059BDC" w14:textId="77777777" w:rsidR="009A2986" w:rsidRDefault="00000000">
      <w:pPr>
        <w:spacing w:after="160"/>
        <w:rPr>
          <w:rFonts w:hint="eastAsia"/>
        </w:rPr>
      </w:pPr>
      <w:r>
        <w:rPr>
          <w:b/>
          <w:color w:val="1A1A2E"/>
          <w:sz w:val="24"/>
        </w:rPr>
        <w:t>Server / VM / ESXi / VMware Upgrades — 87.55 hrs — $13,133</w:t>
      </w:r>
    </w:p>
    <w:p w14:paraId="183923E9" w14:textId="77777777" w:rsidR="009A2986" w:rsidRDefault="00000000">
      <w:pPr>
        <w:spacing w:after="160"/>
        <w:rPr>
          <w:rFonts w:hint="eastAsia"/>
        </w:rPr>
      </w:pPr>
      <w:r>
        <w:rPr>
          <w:sz w:val="21"/>
        </w:rPr>
        <w:t>HP server refresh work, multiple ESXi host reboots, virtual-disk and snapshot consolidation on BWH-HQ-ESXI-01, and various VM rebuild/reconfigure efforts. Traditional MSPs scope VMware host maintenance as a project.</w:t>
      </w:r>
    </w:p>
    <w:p w14:paraId="63236514" w14:textId="77777777" w:rsidR="009A2986" w:rsidRDefault="00000000">
      <w:pPr>
        <w:spacing w:after="160"/>
        <w:rPr>
          <w:rFonts w:hint="eastAsia"/>
        </w:rPr>
      </w:pPr>
      <w:r>
        <w:rPr>
          <w:b/>
          <w:color w:val="1A1A2E"/>
          <w:sz w:val="24"/>
        </w:rPr>
        <w:t>Windows 11 / PC Refresh / Laptop Deploy — 65.95 hrs — $9,893</w:t>
      </w:r>
    </w:p>
    <w:p w14:paraId="5FE99C63" w14:textId="77777777" w:rsidR="009A2986" w:rsidRDefault="00000000">
      <w:pPr>
        <w:spacing w:after="160"/>
        <w:rPr>
          <w:rFonts w:hint="eastAsia"/>
        </w:rPr>
      </w:pPr>
      <w:r>
        <w:rPr>
          <w:sz w:val="21"/>
        </w:rPr>
        <w:t>Dedicated 'Brandywine Homes Windows 11 Upgrade' initiative, onsite new-PC configuration, preconfigured Dell computer deployment, plus named-user laptop builds (Nancy Hayden, Chris, Traci, and others).</w:t>
      </w:r>
    </w:p>
    <w:p w14:paraId="20215FED" w14:textId="77777777" w:rsidR="009A2986" w:rsidRDefault="00000000">
      <w:pPr>
        <w:spacing w:after="160"/>
        <w:rPr>
          <w:rFonts w:hint="eastAsia"/>
        </w:rPr>
      </w:pPr>
      <w:r>
        <w:rPr>
          <w:b/>
          <w:color w:val="1A1A2E"/>
          <w:sz w:val="24"/>
        </w:rPr>
        <w:t>OneDrive / SharePoint Data Migration — 65.49 hrs — $9,824</w:t>
      </w:r>
    </w:p>
    <w:p w14:paraId="3B69D865" w14:textId="77777777" w:rsidR="009A2986" w:rsidRDefault="00000000">
      <w:pPr>
        <w:spacing w:after="160"/>
        <w:rPr>
          <w:rFonts w:hint="eastAsia"/>
        </w:rPr>
      </w:pPr>
      <w:r>
        <w:rPr>
          <w:sz w:val="21"/>
        </w:rPr>
        <w:t>'Projects folder migration to OneDrive' (16.3 hrs, Sept 2023) and 'Share folder migration to OneDrive' (14.8 hrs, Sept 2023) were the core of this work — a classic data-migration SOW. Additional ongoing OneDrive sync and configuration troubleshooting followed.</w:t>
      </w:r>
    </w:p>
    <w:p w14:paraId="669F779A" w14:textId="77777777" w:rsidR="009A2986" w:rsidRDefault="00000000">
      <w:pPr>
        <w:spacing w:after="160"/>
        <w:rPr>
          <w:rFonts w:hint="eastAsia"/>
        </w:rPr>
      </w:pPr>
      <w:r>
        <w:rPr>
          <w:b/>
          <w:color w:val="1A1A2E"/>
          <w:sz w:val="24"/>
        </w:rPr>
        <w:t>Backup / Veeam / Replication Projects — 33.39 hrs — $5,009</w:t>
      </w:r>
    </w:p>
    <w:p w14:paraId="0EBC31C7" w14:textId="77777777" w:rsidR="009A2986" w:rsidRDefault="00000000">
      <w:pPr>
        <w:spacing w:after="160"/>
        <w:rPr>
          <w:rFonts w:hint="eastAsia"/>
        </w:rPr>
      </w:pPr>
      <w:r>
        <w:rPr>
          <w:sz w:val="21"/>
        </w:rPr>
        <w:t>QNAP firmware upgrade, Loaner QNAP configuration, Veeam backup and replication rebuild/configuration work, and Datto server setup tasks.</w:t>
      </w:r>
    </w:p>
    <w:p w14:paraId="64CE692C" w14:textId="77777777" w:rsidR="009A2986" w:rsidRDefault="00000000">
      <w:pPr>
        <w:spacing w:after="160"/>
        <w:rPr>
          <w:rFonts w:hint="eastAsia"/>
        </w:rPr>
      </w:pPr>
      <w:r>
        <w:rPr>
          <w:b/>
          <w:color w:val="1A1A2E"/>
          <w:sz w:val="24"/>
        </w:rPr>
        <w:t>Firewall / VPN / Network Buildout — 18.83 hrs — $2,825</w:t>
      </w:r>
    </w:p>
    <w:p w14:paraId="5DA59A91" w14:textId="77777777" w:rsidR="009A2986" w:rsidRDefault="00000000">
      <w:pPr>
        <w:spacing w:after="160"/>
        <w:rPr>
          <w:rFonts w:hint="eastAsia"/>
        </w:rPr>
      </w:pPr>
      <w:r>
        <w:rPr>
          <w:sz w:val="21"/>
        </w:rPr>
        <w:t>New firewall install at BWH-HQ in September 2025, BWH VPN infrastructure updates, and related network reconfiguration.</w:t>
      </w:r>
    </w:p>
    <w:p w14:paraId="3527A7DC" w14:textId="77777777" w:rsidR="009A2986" w:rsidRDefault="00000000">
      <w:pPr>
        <w:spacing w:after="160"/>
        <w:rPr>
          <w:rFonts w:hint="eastAsia"/>
        </w:rPr>
      </w:pPr>
      <w:r>
        <w:rPr>
          <w:b/>
          <w:color w:val="1A1A2E"/>
          <w:sz w:val="24"/>
        </w:rPr>
        <w:lastRenderedPageBreak/>
        <w:t>File Server / Data Migration — 13.50 hrs — $2,025</w:t>
      </w:r>
    </w:p>
    <w:p w14:paraId="4D5F6E13" w14:textId="77777777" w:rsidR="009A2986" w:rsidRDefault="00000000">
      <w:pPr>
        <w:spacing w:after="160"/>
        <w:rPr>
          <w:rFonts w:hint="eastAsia"/>
        </w:rPr>
      </w:pPr>
      <w:r>
        <w:rPr>
          <w:sz w:val="21"/>
        </w:rPr>
        <w:t>Dedicated file-server migration work and Datto workplace configuration.</w:t>
      </w:r>
    </w:p>
    <w:p w14:paraId="610EAFDC" w14:textId="77777777" w:rsidR="009A2986" w:rsidRDefault="00000000">
      <w:pPr>
        <w:spacing w:after="160"/>
        <w:rPr>
          <w:rFonts w:hint="eastAsia"/>
        </w:rPr>
      </w:pPr>
      <w:r>
        <w:rPr>
          <w:b/>
          <w:color w:val="1A1A2E"/>
          <w:sz w:val="24"/>
        </w:rPr>
        <w:t>Security / EDR / SSL / MFA Rollouts — 12.00 hrs — $1,800</w:t>
      </w:r>
    </w:p>
    <w:p w14:paraId="0B7D666A" w14:textId="77777777" w:rsidR="009A2986" w:rsidRDefault="00000000">
      <w:pPr>
        <w:spacing w:after="160"/>
        <w:rPr>
          <w:rFonts w:hint="eastAsia"/>
        </w:rPr>
      </w:pPr>
      <w:r>
        <w:rPr>
          <w:sz w:val="21"/>
        </w:rPr>
        <w:t>SSL certificate updates and renewals on BWH infrastructure, plus EDR/security tool configuration work.</w:t>
      </w:r>
    </w:p>
    <w:p w14:paraId="64CE9BAA" w14:textId="77777777" w:rsidR="009A2986" w:rsidRDefault="00000000">
      <w:pPr>
        <w:rPr>
          <w:rFonts w:hint="eastAsia"/>
        </w:rPr>
      </w:pPr>
      <w:r>
        <w:br w:type="page"/>
      </w:r>
    </w:p>
    <w:tbl>
      <w:tblPr>
        <w:tblW w:w="0" w:type="auto"/>
        <w:tblLayout w:type="fixed"/>
        <w:tblLook w:val="04A0" w:firstRow="1" w:lastRow="0" w:firstColumn="1" w:lastColumn="0" w:noHBand="0" w:noVBand="1"/>
      </w:tblPr>
      <w:tblGrid>
        <w:gridCol w:w="236"/>
        <w:gridCol w:w="8976"/>
      </w:tblGrid>
      <w:tr w:rsidR="009A2986" w14:paraId="48F08904" w14:textId="77777777">
        <w:tc>
          <w:tcPr>
            <w:tcW w:w="94" w:type="dxa"/>
            <w:tcBorders>
              <w:top w:val="nil"/>
              <w:left w:val="nil"/>
              <w:bottom w:val="nil"/>
              <w:right w:val="nil"/>
            </w:tcBorders>
            <w:shd w:val="clear" w:color="auto" w:fill="006DB6"/>
            <w:vAlign w:val="center"/>
          </w:tcPr>
          <w:p w14:paraId="6536BA92" w14:textId="77777777" w:rsidR="009A2986" w:rsidRDefault="009A2986">
            <w:pPr>
              <w:rPr>
                <w:rFonts w:hint="eastAsia"/>
              </w:rPr>
            </w:pPr>
          </w:p>
        </w:tc>
        <w:tc>
          <w:tcPr>
            <w:tcW w:w="8976" w:type="dxa"/>
            <w:tcBorders>
              <w:top w:val="nil"/>
              <w:left w:val="nil"/>
              <w:bottom w:val="nil"/>
              <w:right w:val="nil"/>
            </w:tcBorders>
          </w:tcPr>
          <w:p w14:paraId="7FA06FDE" w14:textId="77777777" w:rsidR="009A2986" w:rsidRDefault="00000000">
            <w:pPr>
              <w:spacing w:before="80" w:after="80"/>
              <w:rPr>
                <w:rFonts w:hint="eastAsia"/>
              </w:rPr>
            </w:pPr>
            <w:r>
              <w:rPr>
                <w:b/>
                <w:color w:val="006DB6"/>
                <w:sz w:val="28"/>
              </w:rPr>
              <w:t xml:space="preserve">  How the Full 4,050 Hours Breaks Down</w:t>
            </w:r>
          </w:p>
        </w:tc>
      </w:tr>
    </w:tbl>
    <w:p w14:paraId="4EC5318C" w14:textId="77777777" w:rsidR="009A2986" w:rsidRDefault="009A2986">
      <w:pPr>
        <w:rPr>
          <w:rFonts w:hint="eastAsia"/>
        </w:rPr>
      </w:pPr>
    </w:p>
    <w:p w14:paraId="7E0AB28E" w14:textId="77777777" w:rsidR="009A2986" w:rsidRDefault="00000000">
      <w:pPr>
        <w:spacing w:after="160"/>
        <w:rPr>
          <w:rFonts w:hint="eastAsia"/>
        </w:rPr>
      </w:pPr>
      <w:r>
        <w:t>For complete transparency, below is the full categorization of all 4,050.10 hours delivered. The 588 project hours represent only 14.5% of total hours — the remaining 85% was routine monthly support, correctly covered under the existing allocation.</w:t>
      </w:r>
    </w:p>
    <w:p w14:paraId="7B70E499" w14:textId="77777777" w:rsidR="009A2986" w:rsidRDefault="009A2986">
      <w:pPr>
        <w:rPr>
          <w:rFonts w:hint="eastAsia"/>
        </w:rPr>
      </w:pPr>
    </w:p>
    <w:tbl>
      <w:tblPr>
        <w:tblW w:w="0" w:type="auto"/>
        <w:tblLayout w:type="fixed"/>
        <w:tblLook w:val="04A0" w:firstRow="1" w:lastRow="0" w:firstColumn="1" w:lastColumn="0" w:noHBand="0" w:noVBand="1"/>
      </w:tblPr>
      <w:tblGrid>
        <w:gridCol w:w="3312"/>
        <w:gridCol w:w="1152"/>
        <w:gridCol w:w="1296"/>
        <w:gridCol w:w="3888"/>
      </w:tblGrid>
      <w:tr w:rsidR="009A2986" w14:paraId="7B674D0C" w14:textId="77777777">
        <w:tc>
          <w:tcPr>
            <w:tcW w:w="3312" w:type="dxa"/>
            <w:tcBorders>
              <w:top w:val="single" w:sz="4" w:space="0" w:color="E9ECEF"/>
              <w:left w:val="single" w:sz="4" w:space="0" w:color="E9ECEF"/>
              <w:bottom w:val="single" w:sz="4" w:space="0" w:color="E9ECEF"/>
              <w:right w:val="single" w:sz="4" w:space="0" w:color="E9ECEF"/>
            </w:tcBorders>
            <w:shd w:val="clear" w:color="auto" w:fill="006DB6"/>
          </w:tcPr>
          <w:p w14:paraId="34FEBAE4" w14:textId="77777777" w:rsidR="009A2986" w:rsidRDefault="00000000">
            <w:pPr>
              <w:spacing w:before="40" w:after="40"/>
              <w:rPr>
                <w:rFonts w:hint="eastAsia"/>
              </w:rPr>
            </w:pPr>
            <w:r>
              <w:rPr>
                <w:b/>
                <w:color w:val="FFFFFF"/>
                <w:sz w:val="20"/>
              </w:rPr>
              <w:t>Work Type</w:t>
            </w:r>
          </w:p>
        </w:tc>
        <w:tc>
          <w:tcPr>
            <w:tcW w:w="1152" w:type="dxa"/>
            <w:tcBorders>
              <w:top w:val="single" w:sz="4" w:space="0" w:color="E9ECEF"/>
              <w:left w:val="single" w:sz="4" w:space="0" w:color="E9ECEF"/>
              <w:bottom w:val="single" w:sz="4" w:space="0" w:color="E9ECEF"/>
              <w:right w:val="single" w:sz="4" w:space="0" w:color="E9ECEF"/>
            </w:tcBorders>
            <w:shd w:val="clear" w:color="auto" w:fill="006DB6"/>
          </w:tcPr>
          <w:p w14:paraId="2B5499AA" w14:textId="77777777" w:rsidR="009A2986" w:rsidRDefault="00000000">
            <w:pPr>
              <w:spacing w:before="40" w:after="40"/>
              <w:rPr>
                <w:rFonts w:hint="eastAsia"/>
              </w:rPr>
            </w:pPr>
            <w:r>
              <w:rPr>
                <w:b/>
                <w:color w:val="FFFFFF"/>
                <w:sz w:val="20"/>
              </w:rPr>
              <w:t>Hours</w:t>
            </w:r>
          </w:p>
        </w:tc>
        <w:tc>
          <w:tcPr>
            <w:tcW w:w="1296" w:type="dxa"/>
            <w:tcBorders>
              <w:top w:val="single" w:sz="4" w:space="0" w:color="E9ECEF"/>
              <w:left w:val="single" w:sz="4" w:space="0" w:color="E9ECEF"/>
              <w:bottom w:val="single" w:sz="4" w:space="0" w:color="E9ECEF"/>
              <w:right w:val="single" w:sz="4" w:space="0" w:color="E9ECEF"/>
            </w:tcBorders>
            <w:shd w:val="clear" w:color="auto" w:fill="006DB6"/>
          </w:tcPr>
          <w:p w14:paraId="6797EA9E" w14:textId="77777777" w:rsidR="009A2986" w:rsidRDefault="00000000">
            <w:pPr>
              <w:spacing w:before="40" w:after="40"/>
              <w:rPr>
                <w:rFonts w:hint="eastAsia"/>
              </w:rPr>
            </w:pPr>
            <w:r>
              <w:rPr>
                <w:b/>
                <w:color w:val="FFFFFF"/>
                <w:sz w:val="20"/>
              </w:rPr>
              <w:t>% of Total</w:t>
            </w:r>
          </w:p>
        </w:tc>
        <w:tc>
          <w:tcPr>
            <w:tcW w:w="3888" w:type="dxa"/>
            <w:tcBorders>
              <w:top w:val="single" w:sz="4" w:space="0" w:color="E9ECEF"/>
              <w:left w:val="single" w:sz="4" w:space="0" w:color="E9ECEF"/>
              <w:bottom w:val="single" w:sz="4" w:space="0" w:color="E9ECEF"/>
              <w:right w:val="single" w:sz="4" w:space="0" w:color="E9ECEF"/>
            </w:tcBorders>
            <w:shd w:val="clear" w:color="auto" w:fill="006DB6"/>
          </w:tcPr>
          <w:p w14:paraId="4A10A3C3" w14:textId="77777777" w:rsidR="009A2986" w:rsidRDefault="00000000">
            <w:pPr>
              <w:spacing w:before="40" w:after="40"/>
              <w:rPr>
                <w:rFonts w:hint="eastAsia"/>
              </w:rPr>
            </w:pPr>
            <w:r>
              <w:rPr>
                <w:b/>
                <w:color w:val="FFFFFF"/>
                <w:sz w:val="20"/>
              </w:rPr>
              <w:t>Description</w:t>
            </w:r>
          </w:p>
        </w:tc>
      </w:tr>
      <w:tr w:rsidR="009A2986" w14:paraId="75A10615" w14:textId="77777777">
        <w:tc>
          <w:tcPr>
            <w:tcW w:w="3312" w:type="dxa"/>
            <w:tcBorders>
              <w:top w:val="single" w:sz="4" w:space="0" w:color="E9ECEF"/>
              <w:left w:val="single" w:sz="4" w:space="0" w:color="E9ECEF"/>
              <w:bottom w:val="single" w:sz="4" w:space="0" w:color="E9ECEF"/>
              <w:right w:val="single" w:sz="4" w:space="0" w:color="E9ECEF"/>
            </w:tcBorders>
          </w:tcPr>
          <w:p w14:paraId="4503C410" w14:textId="77777777" w:rsidR="009A2986" w:rsidRDefault="00000000">
            <w:pPr>
              <w:spacing w:before="40" w:after="40"/>
              <w:rPr>
                <w:rFonts w:hint="eastAsia"/>
              </w:rPr>
            </w:pPr>
            <w:r>
              <w:rPr>
                <w:sz w:val="20"/>
              </w:rPr>
              <w:t>Routine monthly-support work</w:t>
            </w:r>
          </w:p>
        </w:tc>
        <w:tc>
          <w:tcPr>
            <w:tcW w:w="1152" w:type="dxa"/>
            <w:tcBorders>
              <w:top w:val="single" w:sz="4" w:space="0" w:color="E9ECEF"/>
              <w:left w:val="single" w:sz="4" w:space="0" w:color="E9ECEF"/>
              <w:bottom w:val="single" w:sz="4" w:space="0" w:color="E9ECEF"/>
              <w:right w:val="single" w:sz="4" w:space="0" w:color="E9ECEF"/>
            </w:tcBorders>
          </w:tcPr>
          <w:p w14:paraId="3C8579A5" w14:textId="77777777" w:rsidR="009A2986" w:rsidRDefault="00000000">
            <w:pPr>
              <w:spacing w:before="40" w:after="40"/>
              <w:jc w:val="right"/>
              <w:rPr>
                <w:rFonts w:hint="eastAsia"/>
              </w:rPr>
            </w:pPr>
            <w:r>
              <w:rPr>
                <w:sz w:val="20"/>
              </w:rPr>
              <w:t>2,466</w:t>
            </w:r>
          </w:p>
        </w:tc>
        <w:tc>
          <w:tcPr>
            <w:tcW w:w="1296" w:type="dxa"/>
            <w:tcBorders>
              <w:top w:val="single" w:sz="4" w:space="0" w:color="E9ECEF"/>
              <w:left w:val="single" w:sz="4" w:space="0" w:color="E9ECEF"/>
              <w:bottom w:val="single" w:sz="4" w:space="0" w:color="E9ECEF"/>
              <w:right w:val="single" w:sz="4" w:space="0" w:color="E9ECEF"/>
            </w:tcBorders>
          </w:tcPr>
          <w:p w14:paraId="679894FE" w14:textId="77777777" w:rsidR="009A2986" w:rsidRDefault="00000000">
            <w:pPr>
              <w:spacing w:before="40" w:after="40"/>
              <w:jc w:val="right"/>
              <w:rPr>
                <w:rFonts w:hint="eastAsia"/>
              </w:rPr>
            </w:pPr>
            <w:r>
              <w:rPr>
                <w:sz w:val="20"/>
              </w:rPr>
              <w:t>60.9%</w:t>
            </w:r>
          </w:p>
        </w:tc>
        <w:tc>
          <w:tcPr>
            <w:tcW w:w="3888" w:type="dxa"/>
            <w:tcBorders>
              <w:top w:val="single" w:sz="4" w:space="0" w:color="E9ECEF"/>
              <w:left w:val="single" w:sz="4" w:space="0" w:color="E9ECEF"/>
              <w:bottom w:val="single" w:sz="4" w:space="0" w:color="E9ECEF"/>
              <w:right w:val="single" w:sz="4" w:space="0" w:color="E9ECEF"/>
            </w:tcBorders>
          </w:tcPr>
          <w:p w14:paraId="6398BD3F" w14:textId="77777777" w:rsidR="009A2986" w:rsidRDefault="00000000">
            <w:pPr>
              <w:spacing w:before="40" w:after="40"/>
              <w:rPr>
                <w:rFonts w:hint="eastAsia"/>
              </w:rPr>
            </w:pPr>
            <w:r>
              <w:rPr>
                <w:sz w:val="20"/>
              </w:rPr>
              <w:t>Patching, AV, agent updates, monitoring alerts, user support</w:t>
            </w:r>
          </w:p>
        </w:tc>
      </w:tr>
      <w:tr w:rsidR="009A2986" w14:paraId="25F0887C" w14:textId="77777777">
        <w:tc>
          <w:tcPr>
            <w:tcW w:w="3312" w:type="dxa"/>
            <w:tcBorders>
              <w:top w:val="single" w:sz="4" w:space="0" w:color="E9ECEF"/>
              <w:left w:val="single" w:sz="4" w:space="0" w:color="E9ECEF"/>
              <w:bottom w:val="single" w:sz="4" w:space="0" w:color="E9ECEF"/>
              <w:right w:val="single" w:sz="4" w:space="0" w:color="E9ECEF"/>
            </w:tcBorders>
            <w:shd w:val="clear" w:color="auto" w:fill="F8F9FA"/>
          </w:tcPr>
          <w:p w14:paraId="3D73388F" w14:textId="77777777" w:rsidR="009A2986" w:rsidRDefault="00000000">
            <w:pPr>
              <w:spacing w:before="40" w:after="40"/>
              <w:rPr>
                <w:rFonts w:hint="eastAsia"/>
              </w:rPr>
            </w:pPr>
            <w:r>
              <w:rPr>
                <w:sz w:val="20"/>
              </w:rPr>
              <w:t>Project-style work (SOW candidates)</w:t>
            </w:r>
          </w:p>
        </w:tc>
        <w:tc>
          <w:tcPr>
            <w:tcW w:w="1152" w:type="dxa"/>
            <w:tcBorders>
              <w:top w:val="single" w:sz="4" w:space="0" w:color="E9ECEF"/>
              <w:left w:val="single" w:sz="4" w:space="0" w:color="E9ECEF"/>
              <w:bottom w:val="single" w:sz="4" w:space="0" w:color="E9ECEF"/>
              <w:right w:val="single" w:sz="4" w:space="0" w:color="E9ECEF"/>
            </w:tcBorders>
            <w:shd w:val="clear" w:color="auto" w:fill="F8F9FA"/>
          </w:tcPr>
          <w:p w14:paraId="084D9334" w14:textId="77777777" w:rsidR="009A2986" w:rsidRDefault="00000000">
            <w:pPr>
              <w:spacing w:before="40" w:after="40"/>
              <w:jc w:val="right"/>
              <w:rPr>
                <w:rFonts w:hint="eastAsia"/>
              </w:rPr>
            </w:pPr>
            <w:r>
              <w:rPr>
                <w:sz w:val="20"/>
              </w:rPr>
              <w:t>588</w:t>
            </w:r>
          </w:p>
        </w:tc>
        <w:tc>
          <w:tcPr>
            <w:tcW w:w="1296" w:type="dxa"/>
            <w:tcBorders>
              <w:top w:val="single" w:sz="4" w:space="0" w:color="E9ECEF"/>
              <w:left w:val="single" w:sz="4" w:space="0" w:color="E9ECEF"/>
              <w:bottom w:val="single" w:sz="4" w:space="0" w:color="E9ECEF"/>
              <w:right w:val="single" w:sz="4" w:space="0" w:color="E9ECEF"/>
            </w:tcBorders>
            <w:shd w:val="clear" w:color="auto" w:fill="F8F9FA"/>
          </w:tcPr>
          <w:p w14:paraId="2314EFC9" w14:textId="77777777" w:rsidR="009A2986" w:rsidRDefault="00000000">
            <w:pPr>
              <w:spacing w:before="40" w:after="40"/>
              <w:jc w:val="right"/>
              <w:rPr>
                <w:rFonts w:hint="eastAsia"/>
              </w:rPr>
            </w:pPr>
            <w:r>
              <w:rPr>
                <w:sz w:val="20"/>
              </w:rPr>
              <w:t>14.5%</w:t>
            </w:r>
          </w:p>
        </w:tc>
        <w:tc>
          <w:tcPr>
            <w:tcW w:w="3888" w:type="dxa"/>
            <w:tcBorders>
              <w:top w:val="single" w:sz="4" w:space="0" w:color="E9ECEF"/>
              <w:left w:val="single" w:sz="4" w:space="0" w:color="E9ECEF"/>
              <w:bottom w:val="single" w:sz="4" w:space="0" w:color="E9ECEF"/>
              <w:right w:val="single" w:sz="4" w:space="0" w:color="E9ECEF"/>
            </w:tcBorders>
            <w:shd w:val="clear" w:color="auto" w:fill="F8F9FA"/>
          </w:tcPr>
          <w:p w14:paraId="753FA6D7" w14:textId="77777777" w:rsidR="009A2986" w:rsidRDefault="00000000">
            <w:pPr>
              <w:spacing w:before="40" w:after="40"/>
              <w:rPr>
                <w:rFonts w:hint="eastAsia"/>
              </w:rPr>
            </w:pPr>
            <w:r>
              <w:rPr>
                <w:sz w:val="20"/>
              </w:rPr>
              <w:t>Absorbed — see per-project table</w:t>
            </w:r>
          </w:p>
        </w:tc>
      </w:tr>
      <w:tr w:rsidR="009A2986" w14:paraId="2BF4C44D" w14:textId="77777777">
        <w:tc>
          <w:tcPr>
            <w:tcW w:w="3312" w:type="dxa"/>
            <w:tcBorders>
              <w:top w:val="single" w:sz="4" w:space="0" w:color="E9ECEF"/>
              <w:left w:val="single" w:sz="4" w:space="0" w:color="E9ECEF"/>
              <w:bottom w:val="single" w:sz="4" w:space="0" w:color="E9ECEF"/>
              <w:right w:val="single" w:sz="4" w:space="0" w:color="E9ECEF"/>
            </w:tcBorders>
          </w:tcPr>
          <w:p w14:paraId="17B0B2A0" w14:textId="77777777" w:rsidR="009A2986" w:rsidRDefault="00000000">
            <w:pPr>
              <w:spacing w:before="40" w:after="40"/>
              <w:rPr>
                <w:rFonts w:hint="eastAsia"/>
              </w:rPr>
            </w:pPr>
            <w:r>
              <w:rPr>
                <w:sz w:val="20"/>
              </w:rPr>
              <w:t>Short ad-hoc / uncategorized tickets</w:t>
            </w:r>
          </w:p>
        </w:tc>
        <w:tc>
          <w:tcPr>
            <w:tcW w:w="1152" w:type="dxa"/>
            <w:tcBorders>
              <w:top w:val="single" w:sz="4" w:space="0" w:color="E9ECEF"/>
              <w:left w:val="single" w:sz="4" w:space="0" w:color="E9ECEF"/>
              <w:bottom w:val="single" w:sz="4" w:space="0" w:color="E9ECEF"/>
              <w:right w:val="single" w:sz="4" w:space="0" w:color="E9ECEF"/>
            </w:tcBorders>
          </w:tcPr>
          <w:p w14:paraId="70C152BA" w14:textId="77777777" w:rsidR="009A2986" w:rsidRDefault="00000000">
            <w:pPr>
              <w:spacing w:before="40" w:after="40"/>
              <w:jc w:val="right"/>
              <w:rPr>
                <w:rFonts w:hint="eastAsia"/>
              </w:rPr>
            </w:pPr>
            <w:r>
              <w:rPr>
                <w:sz w:val="20"/>
              </w:rPr>
              <w:t>996</w:t>
            </w:r>
          </w:p>
        </w:tc>
        <w:tc>
          <w:tcPr>
            <w:tcW w:w="1296" w:type="dxa"/>
            <w:tcBorders>
              <w:top w:val="single" w:sz="4" w:space="0" w:color="E9ECEF"/>
              <w:left w:val="single" w:sz="4" w:space="0" w:color="E9ECEF"/>
              <w:bottom w:val="single" w:sz="4" w:space="0" w:color="E9ECEF"/>
              <w:right w:val="single" w:sz="4" w:space="0" w:color="E9ECEF"/>
            </w:tcBorders>
          </w:tcPr>
          <w:p w14:paraId="438FA906" w14:textId="77777777" w:rsidR="009A2986" w:rsidRDefault="00000000">
            <w:pPr>
              <w:spacing w:before="40" w:after="40"/>
              <w:jc w:val="right"/>
              <w:rPr>
                <w:rFonts w:hint="eastAsia"/>
              </w:rPr>
            </w:pPr>
            <w:r>
              <w:rPr>
                <w:sz w:val="20"/>
              </w:rPr>
              <w:t>24.6%</w:t>
            </w:r>
          </w:p>
        </w:tc>
        <w:tc>
          <w:tcPr>
            <w:tcW w:w="3888" w:type="dxa"/>
            <w:tcBorders>
              <w:top w:val="single" w:sz="4" w:space="0" w:color="E9ECEF"/>
              <w:left w:val="single" w:sz="4" w:space="0" w:color="E9ECEF"/>
              <w:bottom w:val="single" w:sz="4" w:space="0" w:color="E9ECEF"/>
              <w:right w:val="single" w:sz="4" w:space="0" w:color="E9ECEF"/>
            </w:tcBorders>
          </w:tcPr>
          <w:p w14:paraId="795423F7" w14:textId="77777777" w:rsidR="009A2986" w:rsidRDefault="00000000">
            <w:pPr>
              <w:spacing w:before="40" w:after="40"/>
              <w:rPr>
                <w:rFonts w:hint="eastAsia"/>
              </w:rPr>
            </w:pPr>
            <w:r>
              <w:rPr>
                <w:sz w:val="20"/>
              </w:rPr>
              <w:t>Long-tail routine support</w:t>
            </w:r>
          </w:p>
        </w:tc>
      </w:tr>
      <w:tr w:rsidR="009A2986" w14:paraId="5F954A93" w14:textId="77777777">
        <w:tc>
          <w:tcPr>
            <w:tcW w:w="3312" w:type="dxa"/>
            <w:tcBorders>
              <w:top w:val="single" w:sz="4" w:space="0" w:color="E9ECEF"/>
              <w:left w:val="single" w:sz="4" w:space="0" w:color="E9ECEF"/>
              <w:bottom w:val="single" w:sz="4" w:space="0" w:color="E9ECEF"/>
              <w:right w:val="single" w:sz="4" w:space="0" w:color="E9ECEF"/>
            </w:tcBorders>
            <w:shd w:val="clear" w:color="auto" w:fill="E9ECEF"/>
          </w:tcPr>
          <w:p w14:paraId="681B8454" w14:textId="77777777" w:rsidR="009A2986" w:rsidRDefault="00000000">
            <w:pPr>
              <w:spacing w:before="40" w:after="40"/>
              <w:rPr>
                <w:rFonts w:hint="eastAsia"/>
              </w:rPr>
            </w:pPr>
            <w:r>
              <w:rPr>
                <w:b/>
                <w:color w:val="1A1A2E"/>
                <w:sz w:val="20"/>
              </w:rPr>
              <w:t>TOTAL</w:t>
            </w:r>
          </w:p>
        </w:tc>
        <w:tc>
          <w:tcPr>
            <w:tcW w:w="1152" w:type="dxa"/>
            <w:tcBorders>
              <w:top w:val="single" w:sz="4" w:space="0" w:color="E9ECEF"/>
              <w:left w:val="single" w:sz="4" w:space="0" w:color="E9ECEF"/>
              <w:bottom w:val="single" w:sz="4" w:space="0" w:color="E9ECEF"/>
              <w:right w:val="single" w:sz="4" w:space="0" w:color="E9ECEF"/>
            </w:tcBorders>
            <w:shd w:val="clear" w:color="auto" w:fill="E9ECEF"/>
          </w:tcPr>
          <w:p w14:paraId="02B079DD" w14:textId="77777777" w:rsidR="009A2986" w:rsidRDefault="00000000">
            <w:pPr>
              <w:spacing w:before="40" w:after="40"/>
              <w:jc w:val="right"/>
              <w:rPr>
                <w:rFonts w:hint="eastAsia"/>
              </w:rPr>
            </w:pPr>
            <w:r>
              <w:rPr>
                <w:b/>
                <w:color w:val="1A1A2E"/>
                <w:sz w:val="20"/>
              </w:rPr>
              <w:t>4,050</w:t>
            </w:r>
          </w:p>
        </w:tc>
        <w:tc>
          <w:tcPr>
            <w:tcW w:w="1296" w:type="dxa"/>
            <w:tcBorders>
              <w:top w:val="single" w:sz="4" w:space="0" w:color="E9ECEF"/>
              <w:left w:val="single" w:sz="4" w:space="0" w:color="E9ECEF"/>
              <w:bottom w:val="single" w:sz="4" w:space="0" w:color="E9ECEF"/>
              <w:right w:val="single" w:sz="4" w:space="0" w:color="E9ECEF"/>
            </w:tcBorders>
            <w:shd w:val="clear" w:color="auto" w:fill="E9ECEF"/>
          </w:tcPr>
          <w:p w14:paraId="473FC39D" w14:textId="77777777" w:rsidR="009A2986" w:rsidRDefault="00000000">
            <w:pPr>
              <w:spacing w:before="40" w:after="40"/>
              <w:jc w:val="right"/>
              <w:rPr>
                <w:rFonts w:hint="eastAsia"/>
              </w:rPr>
            </w:pPr>
            <w:r>
              <w:rPr>
                <w:b/>
                <w:color w:val="1A1A2E"/>
                <w:sz w:val="20"/>
              </w:rPr>
              <w:t>100%</w:t>
            </w:r>
          </w:p>
        </w:tc>
        <w:tc>
          <w:tcPr>
            <w:tcW w:w="3888" w:type="dxa"/>
            <w:tcBorders>
              <w:top w:val="single" w:sz="4" w:space="0" w:color="E9ECEF"/>
              <w:left w:val="single" w:sz="4" w:space="0" w:color="E9ECEF"/>
              <w:bottom w:val="single" w:sz="4" w:space="0" w:color="E9ECEF"/>
              <w:right w:val="single" w:sz="4" w:space="0" w:color="E9ECEF"/>
            </w:tcBorders>
            <w:shd w:val="clear" w:color="auto" w:fill="E9ECEF"/>
          </w:tcPr>
          <w:p w14:paraId="74403DF1" w14:textId="77777777" w:rsidR="009A2986" w:rsidRDefault="009A2986">
            <w:pPr>
              <w:spacing w:before="40" w:after="40"/>
              <w:rPr>
                <w:rFonts w:hint="eastAsia"/>
              </w:rPr>
            </w:pPr>
          </w:p>
        </w:tc>
      </w:tr>
    </w:tbl>
    <w:p w14:paraId="7D5AC556" w14:textId="77777777" w:rsidR="009A2986" w:rsidRDefault="00000000">
      <w:pPr>
        <w:rPr>
          <w:rFonts w:hint="eastAsia"/>
        </w:rPr>
      </w:pPr>
      <w:r>
        <w:br w:type="page"/>
      </w:r>
    </w:p>
    <w:tbl>
      <w:tblPr>
        <w:tblW w:w="0" w:type="auto"/>
        <w:tblLayout w:type="fixed"/>
        <w:tblLook w:val="04A0" w:firstRow="1" w:lastRow="0" w:firstColumn="1" w:lastColumn="0" w:noHBand="0" w:noVBand="1"/>
      </w:tblPr>
      <w:tblGrid>
        <w:gridCol w:w="236"/>
        <w:gridCol w:w="8976"/>
      </w:tblGrid>
      <w:tr w:rsidR="009A2986" w14:paraId="61F4013A" w14:textId="77777777">
        <w:tc>
          <w:tcPr>
            <w:tcW w:w="94" w:type="dxa"/>
            <w:tcBorders>
              <w:top w:val="nil"/>
              <w:left w:val="nil"/>
              <w:bottom w:val="nil"/>
              <w:right w:val="nil"/>
            </w:tcBorders>
            <w:shd w:val="clear" w:color="auto" w:fill="F67D4B"/>
            <w:vAlign w:val="center"/>
          </w:tcPr>
          <w:p w14:paraId="1E516F94" w14:textId="77777777" w:rsidR="009A2986" w:rsidRDefault="009A2986">
            <w:pPr>
              <w:rPr>
                <w:rFonts w:hint="eastAsia"/>
              </w:rPr>
            </w:pPr>
          </w:p>
        </w:tc>
        <w:tc>
          <w:tcPr>
            <w:tcW w:w="8976" w:type="dxa"/>
            <w:tcBorders>
              <w:top w:val="nil"/>
              <w:left w:val="nil"/>
              <w:bottom w:val="nil"/>
              <w:right w:val="nil"/>
            </w:tcBorders>
          </w:tcPr>
          <w:p w14:paraId="353233A5" w14:textId="77777777" w:rsidR="009A2986" w:rsidRDefault="00000000">
            <w:pPr>
              <w:spacing w:before="80" w:after="80"/>
              <w:rPr>
                <w:rFonts w:hint="eastAsia"/>
              </w:rPr>
            </w:pPr>
            <w:r>
              <w:rPr>
                <w:b/>
                <w:color w:val="F67D4B"/>
                <w:sz w:val="28"/>
              </w:rPr>
              <w:t xml:space="preserve">  Bottom Line for BWH</w:t>
            </w:r>
          </w:p>
        </w:tc>
      </w:tr>
    </w:tbl>
    <w:p w14:paraId="68E0086D" w14:textId="77777777" w:rsidR="009A2986" w:rsidRDefault="009A2986">
      <w:pPr>
        <w:rPr>
          <w:rFonts w:hint="eastAsia"/>
        </w:rPr>
      </w:pPr>
    </w:p>
    <w:p w14:paraId="75B02F30" w14:textId="77777777" w:rsidR="009A2986" w:rsidRDefault="00000000">
      <w:pPr>
        <w:spacing w:after="160"/>
        <w:rPr>
          <w:rFonts w:hint="eastAsia"/>
        </w:rPr>
      </w:pPr>
      <w:r>
        <w:t>The 4,050 hours delivered over 36 months may sound like a large number in isolation, but it breaks down cleanly:</w:t>
      </w:r>
    </w:p>
    <w:p w14:paraId="030F2C5E" w14:textId="77777777" w:rsidR="009A2986" w:rsidRDefault="00000000">
      <w:pPr>
        <w:pStyle w:val="ListBullet"/>
        <w:spacing w:after="80"/>
        <w:rPr>
          <w:rFonts w:hint="eastAsia"/>
        </w:rPr>
      </w:pPr>
      <w:r>
        <w:rPr>
          <w:b/>
          <w:color w:val="1A1A2E"/>
        </w:rPr>
        <w:t xml:space="preserve">Operationally routine: </w:t>
      </w:r>
      <w:r>
        <w:t>An average of ~112 hours of IT work per month — consistent with a ~40-seat environment running full monitoring, patching, EDR, backup, and end-user support stacks.</w:t>
      </w:r>
    </w:p>
    <w:p w14:paraId="7825C339" w14:textId="77777777" w:rsidR="009A2986" w:rsidRDefault="00000000">
      <w:pPr>
        <w:pStyle w:val="ListBullet"/>
        <w:spacing w:after="80"/>
        <w:rPr>
          <w:rFonts w:hint="eastAsia"/>
        </w:rPr>
      </w:pPr>
      <w:r>
        <w:rPr>
          <w:b/>
          <w:color w:val="1A1A2E"/>
        </w:rPr>
        <w:t xml:space="preserve">Project-type deliverables: </w:t>
      </w:r>
      <w:r>
        <w:t>Delivered and billed entirely through monthly support at no extra project charge — instead of the $88,251 in separate proposal invoices this work would have generated at the contract's $150/hr rate.</w:t>
      </w:r>
    </w:p>
    <w:p w14:paraId="5BBF60F0" w14:textId="77777777" w:rsidR="009A2986" w:rsidRDefault="00000000">
      <w:pPr>
        <w:pStyle w:val="ListBullet"/>
        <w:spacing w:after="80"/>
        <w:rPr>
          <w:rFonts w:hint="eastAsia"/>
        </w:rPr>
      </w:pPr>
      <w:r>
        <w:rPr>
          <w:b/>
          <w:color w:val="1A1A2E"/>
        </w:rPr>
        <w:t xml:space="preserve">Direct savings: $88,251 </w:t>
      </w:r>
      <w:r>
        <w:t>The structure of BWH's contract kept these upgrades, migrations, and deployments inside the monthly fee instead of adding them on top.</w:t>
      </w:r>
    </w:p>
    <w:p w14:paraId="57F6B213" w14:textId="77777777" w:rsidR="009A2986" w:rsidRDefault="009A2986">
      <w:pPr>
        <w:rPr>
          <w:rFonts w:hint="eastAsia"/>
        </w:rPr>
      </w:pPr>
    </w:p>
    <w:p w14:paraId="2E1A6968" w14:textId="77777777" w:rsidR="009A2986" w:rsidRDefault="00000000">
      <w:pPr>
        <w:spacing w:after="160"/>
        <w:rPr>
          <w:rFonts w:hint="eastAsia"/>
        </w:rPr>
      </w:pPr>
      <w:r>
        <w:rPr>
          <w:color w:val="1A1A2E"/>
        </w:rPr>
        <w:t>Going forward, Technijian is glad to formalize which kinds of work fall under monthly support vs. warrant separate SOWs, so there is no confusion about where each category of work is priced and billed. We appreciate BWH's partnership and welcome the opportunity to walk through this report together.</w:t>
      </w:r>
    </w:p>
    <w:p w14:paraId="464A80D7" w14:textId="77777777" w:rsidR="009A2986" w:rsidRDefault="009A2986">
      <w:pPr>
        <w:rPr>
          <w:rFonts w:hint="eastAsia"/>
        </w:rPr>
      </w:pPr>
    </w:p>
    <w:p w14:paraId="333D8B94" w14:textId="77777777" w:rsidR="009A2986" w:rsidRDefault="009A2986">
      <w:pPr>
        <w:rPr>
          <w:rFonts w:hint="eastAsia"/>
        </w:rPr>
      </w:pPr>
    </w:p>
    <w:p w14:paraId="5B206D94" w14:textId="77777777" w:rsidR="009A2986" w:rsidRDefault="00000000">
      <w:pPr>
        <w:spacing w:after="160"/>
        <w:rPr>
          <w:rFonts w:hint="eastAsia"/>
        </w:rPr>
      </w:pPr>
      <w:r>
        <w:rPr>
          <w:b/>
          <w:color w:val="1A1A2E"/>
        </w:rPr>
        <w:t>Prepared by Technijian — Account Management</w:t>
      </w:r>
    </w:p>
    <w:p w14:paraId="0618A52E" w14:textId="77777777" w:rsidR="009A2986" w:rsidRDefault="00000000">
      <w:pPr>
        <w:spacing w:after="160"/>
        <w:rPr>
          <w:rFonts w:hint="eastAsia"/>
        </w:rPr>
      </w:pPr>
      <w:r>
        <w:rPr>
          <w:sz w:val="20"/>
        </w:rPr>
        <w:t>18 Technology Dr., Ste 141, Irvine, CA 92618</w:t>
      </w:r>
    </w:p>
    <w:p w14:paraId="7A858417" w14:textId="77777777" w:rsidR="009A2986" w:rsidRDefault="00000000">
      <w:pPr>
        <w:spacing w:after="160"/>
        <w:rPr>
          <w:rFonts w:hint="eastAsia"/>
        </w:rPr>
      </w:pPr>
      <w:r>
        <w:rPr>
          <w:sz w:val="20"/>
        </w:rPr>
        <w:t>949.379.8500  |  technijian.com</w:t>
      </w:r>
    </w:p>
    <w:sectPr w:rsidR="009A2986" w:rsidSect="00034616">
      <w:headerReference w:type="default" r:id="rId9"/>
      <w:footerReference w:type="default" r:id="rId10"/>
      <w:pgSz w:w="12240" w:h="15840"/>
      <w:pgMar w:top="1440"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F6913" w14:textId="77777777" w:rsidR="00872C81" w:rsidRDefault="00872C81">
      <w:pPr>
        <w:spacing w:after="0" w:line="240" w:lineRule="auto"/>
        <w:rPr>
          <w:rFonts w:hint="eastAsia"/>
        </w:rPr>
      </w:pPr>
      <w:r>
        <w:separator/>
      </w:r>
    </w:p>
  </w:endnote>
  <w:endnote w:type="continuationSeparator" w:id="0">
    <w:p w14:paraId="7E914487" w14:textId="77777777" w:rsidR="00872C81" w:rsidRDefault="00872C8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pen Sans">
    <w:panose1 w:val="020B0606030504020204"/>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57A9" w14:textId="77777777" w:rsidR="009A2986" w:rsidRDefault="00000000">
    <w:pPr>
      <w:pStyle w:val="Footer"/>
      <w:jc w:val="center"/>
      <w:rPr>
        <w:rFonts w:hint="eastAsia"/>
      </w:rPr>
    </w:pPr>
    <w:r>
      <w:rPr>
        <w:sz w:val="18"/>
      </w:rPr>
      <w:t>Technijian  |  18 Technology Dr., Ste 141, Irvine, CA 92618  |  949.379.8500  |  technijian.com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8FFCB" w14:textId="77777777" w:rsidR="00872C81" w:rsidRDefault="00872C81">
      <w:pPr>
        <w:spacing w:after="0" w:line="240" w:lineRule="auto"/>
        <w:rPr>
          <w:rFonts w:hint="eastAsia"/>
        </w:rPr>
      </w:pPr>
      <w:r>
        <w:separator/>
      </w:r>
    </w:p>
  </w:footnote>
  <w:footnote w:type="continuationSeparator" w:id="0">
    <w:p w14:paraId="792BC6EA" w14:textId="77777777" w:rsidR="00872C81" w:rsidRDefault="00872C8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9E279" w14:textId="77777777" w:rsidR="009A2986" w:rsidRDefault="00000000">
    <w:pPr>
      <w:pStyle w:val="Header"/>
      <w:rPr>
        <w:rFonts w:hint="eastAsia"/>
      </w:rPr>
    </w:pPr>
    <w:r>
      <w:rPr>
        <w:noProof/>
      </w:rPr>
      <w:drawing>
        <wp:inline distT="0" distB="0" distL="0" distR="0" wp14:anchorId="39925A5F" wp14:editId="3EA1CA99">
          <wp:extent cx="1554480" cy="323850"/>
          <wp:effectExtent l="0" t="0" r="0" b="0"/>
          <wp:docPr id="2029279698" name="Picture 202927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jian-logo-full-color-600x125.png"/>
                  <pic:cNvPicPr/>
                </pic:nvPicPr>
                <pic:blipFill>
                  <a:blip r:embed="rId1"/>
                  <a:stretch>
                    <a:fillRect/>
                  </a:stretch>
                </pic:blipFill>
                <pic:spPr>
                  <a:xfrm>
                    <a:off x="0" y="0"/>
                    <a:ext cx="1554480" cy="323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865777">
    <w:abstractNumId w:val="8"/>
  </w:num>
  <w:num w:numId="2" w16cid:durableId="1167163134">
    <w:abstractNumId w:val="6"/>
  </w:num>
  <w:num w:numId="3" w16cid:durableId="1556237115">
    <w:abstractNumId w:val="5"/>
  </w:num>
  <w:num w:numId="4" w16cid:durableId="425272550">
    <w:abstractNumId w:val="4"/>
  </w:num>
  <w:num w:numId="5" w16cid:durableId="996692808">
    <w:abstractNumId w:val="7"/>
  </w:num>
  <w:num w:numId="6" w16cid:durableId="2030640793">
    <w:abstractNumId w:val="3"/>
  </w:num>
  <w:num w:numId="7" w16cid:durableId="1621956474">
    <w:abstractNumId w:val="2"/>
  </w:num>
  <w:num w:numId="8" w16cid:durableId="2061316309">
    <w:abstractNumId w:val="1"/>
  </w:num>
  <w:num w:numId="9" w16cid:durableId="162838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CC9"/>
    <w:rsid w:val="0029639D"/>
    <w:rsid w:val="00326F90"/>
    <w:rsid w:val="00872C81"/>
    <w:rsid w:val="009A2986"/>
    <w:rsid w:val="00AA1D8D"/>
    <w:rsid w:val="00B47730"/>
    <w:rsid w:val="00CB0664"/>
    <w:rsid w:val="00DF71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BB643"/>
  <w14:defaultImageDpi w14:val="300"/>
  <w15:docId w15:val="{DBE4C2CB-565F-4D62-AC7C-2552806A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Open Sans" w:hAnsi="Open Sans"/>
      <w:color w:val="59595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Jain</cp:lastModifiedBy>
  <cp:revision>3</cp:revision>
  <dcterms:created xsi:type="dcterms:W3CDTF">2013-12-23T23:15:00Z</dcterms:created>
  <dcterms:modified xsi:type="dcterms:W3CDTF">2026-04-24T23:11:00Z</dcterms:modified>
  <cp:category/>
</cp:coreProperties>
</file>