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4E79"/>
          <w:sz w:val="52"/>
        </w:rPr>
        <w:t>BWH (Brandywine Homes)</w:t>
      </w:r>
    </w:p>
    <w:p>
      <w:pPr>
        <w:jc w:val="center"/>
      </w:pPr>
      <w:r>
        <w:rPr>
          <w:rFonts w:ascii="Calibri" w:hAnsi="Calibri"/>
          <w:color w:val="2E75B6"/>
          <w:sz w:val="40"/>
        </w:rPr>
        <w:t>2025 IT Support Review</w:t>
      </w:r>
    </w:p>
    <w:p>
      <w:pPr>
        <w:jc w:val="center"/>
      </w:pPr>
      <w:r>
        <w:rPr>
          <w:rFonts w:ascii="Calibri" w:hAnsi="Calibri"/>
          <w:color w:val="2E75B6"/>
          <w:sz w:val="40"/>
        </w:rPr>
        <w:t>&amp; 2026 Planning Readiness Assessment</w:t>
      </w:r>
    </w:p>
    <w:p/>
    <w:p>
      <w:pPr>
        <w:jc w:val="center"/>
      </w:pPr>
      <w:r>
        <w:rPr>
          <w:rFonts w:ascii="Calibri" w:hAnsi="Calibri"/>
          <w:color w:val="666666"/>
          <w:sz w:val="24"/>
        </w:rPr>
        <w:t>Prepared by Technijian Inc.  —  March 2026</w:t>
      </w:r>
    </w:p>
    <w:p/>
    <w:tbl>
      <w:tblPr>
        <w:tblStyle w:val="TableGrid"/>
        <w:tblW w:type="auto" w:w="0"/>
        <w:jc w:val="center"/>
        <w:tblLook w:firstColumn="1" w:firstRow="1" w:lastColumn="0" w:lastRow="0" w:noHBand="0" w:noVBand="1" w:val="04A0"/>
      </w:tblPr>
      <w:tblGrid>
        <w:gridCol w:w="5213"/>
        <w:gridCol w:w="5213"/>
      </w:tblGrid>
      <w:tr>
        <w:tc>
          <w:tcPr>
            <w:tcW w:type="dxa" w:w="5213"/>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2025 At a Glance</w:t>
            </w:r>
          </w:p>
        </w:tc>
        <w:tc>
          <w:tcPr>
            <w:tcW w:type="dxa" w:w="5213"/>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Key Figures</w:t>
            </w:r>
          </w:p>
        </w:tc>
      </w:tr>
      <w:tr>
        <w:tc>
          <w:tcPr>
            <w:tcW w:type="dxa" w:w="5213"/>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2025 Revenue</w:t>
            </w:r>
          </w:p>
        </w:tc>
        <w:tc>
          <w:tcPr>
            <w:tcW w:type="dxa" w:w="5213"/>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$133,258</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Monthly Contract (Support + Services)</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$95,464</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Recurring Licensing</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$16,636</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Projects / One-Time</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$21,157</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Unique Tickets (2025)</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2,179</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Total Support Hours Delivered</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1,459</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Active Users (User List)</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101</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Cloud Servers Managed</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Desktops Managed</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 → 47 (Mar 2026)</w:t>
            </w:r>
          </w:p>
        </w:tc>
      </w:tr>
    </w:tbl>
    <w:p>
      <w:r>
        <w:br w:type="page"/>
      </w:r>
    </w:p>
    <w:p>
      <w:pPr>
        <w:pStyle w:val="Heading1"/>
        <w:spacing w:before="240" w:after="120"/>
      </w:pPr>
      <w:r>
        <w:rPr>
          <w:b/>
          <w:color w:val="1F4E79"/>
          <w:sz w:val="32"/>
        </w:rPr>
        <w:t>Section 1: Support Scope &amp; Coverage</w:t>
      </w:r>
    </w:p>
    <w:p>
      <w:pPr>
        <w:pStyle w:val="Heading2"/>
        <w:spacing w:before="200" w:after="80"/>
      </w:pPr>
      <w:r>
        <w:rPr>
          <w:b/>
          <w:color w:val="1F4E79"/>
          <w:sz w:val="26"/>
        </w:rPr>
        <w:t>1.1 What Is Included in Monthly Support</w:t>
      </w:r>
    </w:p>
    <w:p>
      <w:pPr>
        <w:spacing w:after="80"/>
      </w:pPr>
      <w:r>
        <w:rPr>
          <w:rFonts w:ascii="Calibri" w:hAnsi="Calibri"/>
          <w:sz w:val="20"/>
        </w:rPr>
        <w:t>The monthly agreement covers a comprehensive managed IT package for BWH, totaling $95,464 across 2025 (~$7,955/month). This breaks down into two components:</w:t>
      </w:r>
    </w:p>
    <w:p>
      <w:pPr>
        <w:spacing w:after="80"/>
      </w:pPr>
      <w:r>
        <w:rPr>
          <w:rFonts w:ascii="Calibri" w:hAnsi="Calibri"/>
          <w:b/>
          <w:sz w:val="20"/>
        </w:rPr>
        <w:t>Labor (~$57,329/year, ~$4,777/month):</w:t>
      </w:r>
      <w:r>
        <w:rPr>
          <w:rFonts w:ascii="Calibri" w:hAnsi="Calibri"/>
          <w:sz w:val="20"/>
        </w:rPr>
        <w:t xml:space="preserve"> Offshore technical support provides coverage across US business hours ($30/hr, billed as offshore after-hours) and US overnight hours ($15/hr, billed as offshore normal hours). US-based technical support ($125/hr) handles escalations and onsite work. A Systems Architect advisory retainer ($200/hr, 5 hrs/month) provides strategic guidance.</w:t>
      </w:r>
    </w:p>
    <w:p>
      <w:pPr>
        <w:spacing w:after="80"/>
      </w:pPr>
      <w:r>
        <w:rPr>
          <w:rFonts w:ascii="Calibri" w:hAnsi="Calibri"/>
          <w:b/>
          <w:sz w:val="20"/>
        </w:rPr>
        <w:t>Managed Services (~$38,135/year, ~$3,178/month):</w:t>
      </w:r>
      <w:r>
        <w:rPr>
          <w:rFonts w:ascii="Calibri" w:hAnsi="Calibri"/>
          <w:sz w:val="20"/>
        </w:rPr>
        <w:t xml:space="preserve"> Security stack (CrowdStrike, Huntress, phishing training), monitoring (RMM, ManageEngine Ops Manager, patch management), backup (image backup, Veeam 365, cloud backup storage), email security (anti-spam, DKIM/DMARC), secure internet filtering, pen testing, and site assessment.</w:t>
      </w:r>
    </w:p>
    <w:p>
      <w:pPr>
        <w:pStyle w:val="Heading2"/>
        <w:spacing w:before="200" w:after="80"/>
      </w:pPr>
      <w:r>
        <w:rPr>
          <w:b/>
          <w:color w:val="1F4E79"/>
          <w:sz w:val="26"/>
        </w:rPr>
        <w:t>1.2 Coverage Hours</w:t>
      </w:r>
    </w:p>
    <w:p>
      <w:pPr>
        <w:pStyle w:val="ListBullet"/>
        <w:spacing w:after="40"/>
      </w:pPr>
      <w:r>
        <w:rPr>
          <w:rFonts w:ascii="Calibri" w:hAnsi="Calibri"/>
          <w:b/>
          <w:sz w:val="20"/>
        </w:rPr>
        <w:t>Total Hours Delivered:</w:t>
      </w:r>
      <w:r>
        <w:rPr>
          <w:rFonts w:ascii="Calibri" w:hAnsi="Calibri"/>
          <w:sz w:val="20"/>
        </w:rPr>
        <w:t xml:space="preserve"> 1,459 hours delivered across 2,179 unique tickets in 2025.</w:t>
      </w:r>
    </w:p>
    <w:p>
      <w:pPr>
        <w:pStyle w:val="ListBullet"/>
        <w:spacing w:after="40"/>
      </w:pPr>
      <w:r>
        <w:rPr>
          <w:rFonts w:ascii="Calibri" w:hAnsi="Calibri"/>
          <w:b/>
          <w:sz w:val="20"/>
        </w:rPr>
        <w:t>US Overnight (Offshore NH):</w:t>
      </w:r>
      <w:r>
        <w:rPr>
          <w:rFonts w:ascii="Calibri" w:hAnsi="Calibri"/>
          <w:sz w:val="20"/>
        </w:rPr>
        <w:t xml:space="preserve"> 974 hours (66.7% of total) at $15/hr — overnight monitoring and maintenance delivered by the offshore team during their normal business hours (India daytime = US overnight).</w:t>
      </w:r>
    </w:p>
    <w:p>
      <w:pPr>
        <w:pStyle w:val="ListBullet"/>
        <w:spacing w:after="40"/>
      </w:pPr>
      <w:r>
        <w:rPr>
          <w:rFonts w:ascii="Calibri" w:hAnsi="Calibri"/>
          <w:b/>
          <w:sz w:val="20"/>
        </w:rPr>
        <w:t>US Business Hours (Offshore AH):</w:t>
      </w:r>
      <w:r>
        <w:rPr>
          <w:rFonts w:ascii="Calibri" w:hAnsi="Calibri"/>
          <w:sz w:val="20"/>
        </w:rPr>
        <w:t xml:space="preserve"> 479 hours (32.9% of total) at $30/hr — US daytime support delivered by the offshore team during their after-hours (India night shift).</w:t>
      </w:r>
    </w:p>
    <w:p>
      <w:pPr>
        <w:pStyle w:val="ListBullet"/>
        <w:spacing w:after="40"/>
      </w:pPr>
      <w:r>
        <w:rPr>
          <w:rFonts w:ascii="Calibri" w:hAnsi="Calibri"/>
          <w:b/>
          <w:sz w:val="20"/>
        </w:rPr>
        <w:t>Onsite:</w:t>
      </w:r>
      <w:r>
        <w:rPr>
          <w:rFonts w:ascii="Calibri" w:hAnsi="Calibri"/>
          <w:sz w:val="20"/>
        </w:rPr>
        <w:t xml:space="preserve"> 5.9 hours (0.4%) across 3 visits — QNAP disk replacement, onsite network work, and a December visit.</w:t>
      </w:r>
    </w:p>
    <w:p>
      <w:pPr>
        <w:pStyle w:val="ListBullet"/>
        <w:spacing w:after="40"/>
      </w:pPr>
      <w:r>
        <w:rPr>
          <w:rFonts w:ascii="Calibri" w:hAnsi="Calibri"/>
          <w:b/>
          <w:sz w:val="20"/>
        </w:rPr>
        <w:t>Weekend Coverage:</w:t>
      </w:r>
      <w:r>
        <w:rPr>
          <w:rFonts w:ascii="Calibri" w:hAnsi="Calibri"/>
          <w:sz w:val="20"/>
        </w:rPr>
        <w:t xml:space="preserve"> 659 time entries on Saturdays and Sundays (27.5% of all entries), confirming 7-day availability.</w:t>
      </w:r>
    </w:p>
    <w:p>
      <w:pPr>
        <w:pStyle w:val="ListBullet"/>
        <w:spacing w:after="40"/>
      </w:pPr>
      <w:r>
        <w:rPr>
          <w:rFonts w:ascii="Calibri" w:hAnsi="Calibri"/>
          <w:b/>
          <w:sz w:val="20"/>
        </w:rPr>
        <w:t>Staffing Depth:</w:t>
      </w:r>
      <w:r>
        <w:rPr>
          <w:rFonts w:ascii="Calibri" w:hAnsi="Calibri"/>
          <w:sz w:val="20"/>
        </w:rPr>
        <w:t xml:space="preserve"> 19 unique technicians, with 7 primary resources each contributing 100+ hours.</w:t>
      </w:r>
    </w:p>
    <w:p>
      <w:pPr>
        <w:pStyle w:val="Heading2"/>
        <w:spacing w:before="200" w:after="80"/>
      </w:pPr>
      <w:r>
        <w:rPr>
          <w:b/>
          <w:color w:val="1F4E79"/>
          <w:sz w:val="26"/>
        </w:rPr>
        <w:t>1.3 Remote vs. Onsite Mix</w:t>
      </w:r>
    </w:p>
    <w:p>
      <w:pPr>
        <w:spacing w:after="80"/>
      </w:pPr>
      <w:r>
        <w:rPr>
          <w:rFonts w:ascii="Calibri" w:hAnsi="Calibri"/>
          <w:sz w:val="20"/>
        </w:rPr>
        <w:t>The model is 99.6% remote. Only 5.9 onsite hours were logged in 2025 (3 visits), with 6.0 hours of drive time. Onsite visits are reserved for hardware-related needs only (disk replacement, network equipment).</w:t>
      </w:r>
    </w:p>
    <w:p>
      <w:pPr>
        <w:pStyle w:val="Heading2"/>
        <w:spacing w:before="200" w:after="80"/>
      </w:pPr>
      <w:r>
        <w:rPr>
          <w:b/>
          <w:color w:val="1F4E79"/>
          <w:sz w:val="26"/>
        </w:rPr>
        <w:t>1.4 Services Billed Outside Monthly</w:t>
      </w:r>
    </w:p>
    <w:p>
      <w:pPr>
        <w:pStyle w:val="ListBullet"/>
        <w:spacing w:after="40"/>
      </w:pPr>
      <w:r>
        <w:rPr>
          <w:rFonts w:ascii="Calibri" w:hAnsi="Calibri"/>
          <w:b/>
          <w:sz w:val="20"/>
        </w:rPr>
        <w:t>Recurring Licensing ($16,636):</w:t>
      </w:r>
      <w:r>
        <w:rPr>
          <w:rFonts w:ascii="Calibri" w:hAnsi="Calibri"/>
          <w:sz w:val="20"/>
        </w:rPr>
        <w:t xml:space="preserve"> Cybertraining, cloud backup, anti-spam (transitioned from monthly billing in April), M365 backup, Sophos firewall subscription, edge appliance, and Entra ID P1.</w:t>
      </w:r>
    </w:p>
    <w:p>
      <w:pPr>
        <w:pStyle w:val="ListBullet"/>
        <w:spacing w:after="40"/>
      </w:pPr>
      <w:r>
        <w:rPr>
          <w:rFonts w:ascii="Calibri" w:hAnsi="Calibri"/>
          <w:b/>
          <w:sz w:val="20"/>
        </w:rPr>
        <w:t>One-Time Projects ($21,157):</w:t>
      </w:r>
      <w:r>
        <w:rPr>
          <w:rFonts w:ascii="Calibri" w:hAnsi="Calibri"/>
          <w:sz w:val="20"/>
        </w:rPr>
        <w:t xml:space="preserve"> CTO IT Security Manual ($7,500), hardware purchases ($9,839), initial service setup fees ($2,161), and ad-hoc onsite labor ($1,650).</w:t>
      </w:r>
    </w:p>
    <w:p>
      <w:r>
        <w:br w:type="page"/>
      </w:r>
    </w:p>
    <w:p>
      <w:pPr>
        <w:pStyle w:val="Heading1"/>
        <w:spacing w:before="240" w:after="120"/>
      </w:pPr>
      <w:r>
        <w:rPr>
          <w:b/>
          <w:color w:val="1F4E79"/>
          <w:sz w:val="32"/>
        </w:rPr>
        <w:t>Section 2: Effective Blended Rates</w:t>
      </w:r>
    </w:p>
    <w:p>
      <w:pPr>
        <w:spacing w:after="80"/>
      </w:pPr>
      <w:r>
        <w:rPr>
          <w:rFonts w:ascii="Calibri" w:hAnsi="Calibri"/>
          <w:sz w:val="20"/>
        </w:rPr>
        <w:t>The following table shows the effective blended rate per role, calculated as total billed revenue divided by total billed hours across all contract types (monthly contracted + one-time projects):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Contracted</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One-Time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Total Billed</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Blended</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IT Support</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$45,329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$1,650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$46,979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1,287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$36.50</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Systems Architect / CTO</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$12,000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$7,500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$19,500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$216.67</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ALL LABOR</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$57,329</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$9,150</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$66,479</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1,377</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$48.27</w:t>
            </w:r>
          </w:p>
        </w:tc>
      </w:tr>
    </w:tbl>
    <w:p>
      <w:pPr>
        <w:spacing w:after="80"/>
      </w:pPr>
      <w:r>
        <w:rPr>
          <w:rFonts w:ascii="Calibri" w:hAnsi="Calibri"/>
          <w:i/>
          <w:color w:val="666666"/>
          <w:sz w:val="18"/>
        </w:rPr>
        <w:t>Note: IT Support combines offshore NH ($15/hr, 584 hrs), offshore AH ($30/hr, 526 hrs), US remote ($125/hr, 166 hrs), and one-time onsite/project labor ($150/hr, 11 hrs). The overall blended rate of $36.50/hr reflects heavy offshore leverage. The Systems Architect role is a fixed 5 hrs/month retainer at $200/hr; the one-time CTO engagement (IT Security Manual) was billed at $250/hr.</w:t>
      </w:r>
    </w:p>
    <w:p>
      <w:pPr>
        <w:spacing w:before="160" w:after="80"/>
      </w:pPr>
      <w:r>
        <w:rPr>
          <w:b/>
          <w:color w:val="1F4E79"/>
          <w:sz w:val="22"/>
        </w:rPr>
        <w:t>Rate Card Breakdown</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 / Tier</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Coverage</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Support (US Overnight)</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$15.00/hr</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overnight monitoring/maintenance (India NH)</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Support (US Daytime)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$30.00/hr</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business hours support (India AH)</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 (Remote)</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$125.00/hr</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Escalations, complex issues</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Tech Support (Onsite)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$150.00/hr</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On-premises hardware work</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Systems Architect (Retainer)</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$200.00/hr</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5 hrs/month advisory</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CTO Advisory (Project)</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$250.00/hr</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One-time project engagement</w:t>
            </w:r>
          </w:p>
        </w:tc>
      </w:tr>
    </w:tbl>
    <w:p>
      <w:pPr>
        <w:spacing w:after="80"/>
      </w:pPr>
      <w:r>
        <w:rPr>
          <w:rFonts w:ascii="Calibri" w:hAnsi="Calibri"/>
          <w:sz w:val="20"/>
        </w:rPr>
        <w:t>IT Support achieves a low blended rate of $36.50/hr through heavy offshore leverage — 86% of support hours are offshore. US overnight support is delivered by the offshore team during their normal business hours at $15/hr, while US daytime support runs at $30/hr during India's after-hours shift. US tech support at $125–$150/hr is reserved for escalations and the rare onsite visit. The Systems Architect operates as a fixed 5 hrs/month retainer at $200/hr, providing strategic IT advisory and planning services.</w:t>
      </w:r>
    </w:p>
    <w:p>
      <w:r>
        <w:br w:type="page"/>
      </w:r>
    </w:p>
    <w:p>
      <w:pPr>
        <w:pStyle w:val="Heading1"/>
        <w:spacing w:before="240" w:after="120"/>
      </w:pPr>
      <w:r>
        <w:rPr>
          <w:b/>
          <w:color w:val="1F4E79"/>
          <w:sz w:val="32"/>
        </w:rPr>
        <w:t>Section 3: Licensing &amp; Recurring Services</w:t>
      </w:r>
    </w:p>
    <w:p>
      <w:pPr>
        <w:pStyle w:val="Heading2"/>
        <w:spacing w:before="200" w:after="80"/>
      </w:pPr>
      <w:r>
        <w:rPr>
          <w:b/>
          <w:color w:val="1F4E79"/>
          <w:sz w:val="26"/>
        </w:rPr>
        <w:t>3.1 Monthly Managed Services Breakdown</w:t>
      </w:r>
    </w:p>
    <w:p>
      <w:pPr>
        <w:spacing w:after="80"/>
      </w:pPr>
      <w:r>
        <w:rPr>
          <w:rFonts w:ascii="Calibri" w:hAnsi="Calibri"/>
          <w:sz w:val="20"/>
        </w:rPr>
        <w:t>The monthly contract ($95,464/year, ~$7,955/month) covers both labor and managed services. The December 2025 invoice reflects the current service footprint:</w:t>
      </w:r>
    </w:p>
    <w:p>
      <w:pPr>
        <w:spacing w:before="160" w:after="80"/>
      </w:pPr>
      <w:r>
        <w:rPr>
          <w:b/>
          <w:color w:val="1F4E79"/>
          <w:sz w:val="22"/>
        </w:rPr>
        <w:t>Monthly Contract by Service Category (Annual)</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 Category</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Annual</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 (Support + Sys Architect)</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$57,329</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$4,777</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 &amp; Endpoint Protection</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$11,763</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$980</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&amp; Archiving</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$9,547</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$796</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 &amp; Management (RMM/Ops)</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$7,702</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$642</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Email Security (Anti-Spam/DKIM)</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$4,771</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$397</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Secure Internet Filtering</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$2,596</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$216</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Pen Testing</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$1,757</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$146</w:t>
            </w:r>
          </w:p>
        </w:tc>
      </w:tr>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$95,464</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$7,955</w:t>
            </w:r>
          </w:p>
        </w:tc>
      </w:tr>
    </w:tbl>
    <w:p>
      <w:pPr>
        <w:spacing w:before="160" w:after="80"/>
      </w:pPr>
      <w:r>
        <w:rPr>
          <w:b/>
          <w:color w:val="1F4E79"/>
          <w:sz w:val="22"/>
        </w:rPr>
        <w:t>December 2025 Monthly Invoice — Key Line Items</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Qty</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Unit Rate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 (IRV-TS1)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12.4</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$125.00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$1,554</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Support — US Daytime (CHD-TS1 AH)</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45.4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$1,362</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Systems Architect (IRV-AD1)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Support — US Overnight (CHD-TS1 NH)</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59.3</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$889</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Storage (TB-BSTR)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Anti-Spam (ASA)</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$6.25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$556</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Email Security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 Desktop (AVD)</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$8.50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$366</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Veeam 365 Backup (V365)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$2.50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$238</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Huntress — Desktop (AVMH)</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$215</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Phishing Training (PHT)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$190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Ops Manager — Network (OPS-NET)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$179</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Image Backup — Servers (IB)</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 — Desktop (SI)</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Patch Management (PMW)</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$165</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 Server (AVS)</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$10.50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$126</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My Remote (MR)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Network Assessment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$63</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Huntress — Server (AVHS)</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 — Server (SI)</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$48</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Site Assessment (SA)</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Veeam ONE (VONE)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Ops Manager — Port (OPS-PRT)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98</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$0.25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$25</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RTPT (Pen Testing)</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$3.50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Pen Testing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DKIM/DMARC</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Email Security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Config Backup — Switches (OPS-BKP)</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Traffic Monitor — Firewall (OPS-TR)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Storage Monitor (OPS-ST)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My Disk (MDU)</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WiFi Monitor (OPS-WF)</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bl>
    <w:p>
      <w:r>
        <w:br w:type="page"/>
      </w:r>
    </w:p>
    <w:p>
      <w:pPr>
        <w:pStyle w:val="Heading2"/>
        <w:spacing w:before="200" w:after="80"/>
      </w:pPr>
      <w:r>
        <w:rPr>
          <w:b/>
          <w:color w:val="1F4E79"/>
          <w:sz w:val="26"/>
        </w:rPr>
        <w:t>3.2 Recurring Licensing (Billed Separately)</w:t>
      </w:r>
    </w:p>
    <w:p>
      <w:pPr>
        <w:spacing w:after="80"/>
      </w:pPr>
      <w:r>
        <w:rPr>
          <w:rFonts w:ascii="Calibri" w:hAnsi="Calibri"/>
          <w:sz w:val="20"/>
        </w:rPr>
        <w:t>Recurring items are billed on a separate monthly invoice. Several services transitioned from Monthly to Recurring billing in April 2025, and Sophos/Edge were added in September 2025.</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License / Service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Seats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$/Seat/Mo</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Annual (2025)</w:t>
            </w:r>
          </w:p>
        </w:tc>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Notes</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Cybertraining</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$415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$3,735</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Apr–Dec (9 months)</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Server Cloud Backup</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$3,600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Apr–Dec (9 months)</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Anti-Spam Standard</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$6.25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$519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$3,631</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Apr–Dec (split)</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M365 Backup Storage (est.)</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$250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$2,250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Apr–Dec (9 months)</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Veeam 365 Backup</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$2.50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$1,868</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Apr–Dec (9 months)</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Sophos Firewall Sub (2C-4G)</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$270.00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$270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$1,080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Sep–Dec (4 months)</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Edge Appliance (MPC)</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Sep–Dec (4 months)</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Microsoft Entra ID P1</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Full year</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$1,649</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$16,636</w:t>
            </w:r>
          </w:p>
        </w:tc>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r>
          </w:p>
        </w:tc>
      </w:tr>
    </w:tbl>
    <w:p>
      <w:pPr>
        <w:spacing w:after="80"/>
      </w:pPr>
      <w:r>
        <w:rPr>
          <w:rFonts w:ascii="Calibri" w:hAnsi="Calibri"/>
          <w:i/>
          <w:color w:val="666666"/>
          <w:sz w:val="18"/>
        </w:rPr>
        <w:t>Note: Anti-Spam and Phishing Training/Cybertraining were included in the Monthly invoice during Q1, then transitioned to the Recurring invoice starting April 2025. The Sophos firewall and Edge appliance subscriptions began in September after hardware installation in August. The 2025 annual totals reflect partial-year billing.</w:t>
      </w:r>
    </w:p>
    <w:p>
      <w:pPr>
        <w:pStyle w:val="Heading2"/>
        <w:spacing w:before="200" w:after="80"/>
      </w:pPr>
      <w:r>
        <w:rPr>
          <w:b/>
          <w:color w:val="1F4E79"/>
          <w:sz w:val="26"/>
        </w:rPr>
        <w:t>3.3 Service Count Tracking: December 2025 vs. March 2026</w:t>
      </w:r>
    </w:p>
    <w:p>
      <w:pPr>
        <w:spacing w:after="80"/>
      </w:pPr>
      <w:r>
        <w:rPr>
          <w:rFonts w:ascii="Calibri" w:hAnsi="Calibri"/>
          <w:sz w:val="20"/>
        </w:rPr>
        <w:t>The following tables show the current 3/1/2026 service inventory alongside December 2025 billed quantities. The March 2026 counts establish the current baseline for 2026 billing projections and planning. Counts naturally fluctuate month-to-month as users and devices are added or removed.</w:t>
      </w:r>
    </w:p>
    <w:p>
      <w:pPr>
        <w:spacing w:before="160" w:after="80"/>
      </w:pPr>
      <w:r>
        <w:rPr>
          <w:b/>
          <w:color w:val="1F4E79"/>
          <w:sz w:val="22"/>
        </w:rPr>
        <w:t>M365 Licensing (Current Inventory)</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License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In Use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Office 365 E3</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New tracking</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Exchange Online (Plan 1)</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31</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New tracking</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Audio Conferencing</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New tracking</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Planner &amp; Project Plan 3</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New tracking</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Entra ID P1</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0 (flat)</w:t>
            </w:r>
          </w:p>
        </w:tc>
      </w:tr>
    </w:tbl>
    <w:p>
      <w:pPr>
        <w:spacing w:before="160" w:after="80"/>
      </w:pPr>
      <w:r>
        <w:rPr>
          <w:b/>
          <w:color w:val="1F4E79"/>
          <w:sz w:val="22"/>
        </w:rPr>
        <w:t>Security &amp; Endpoint Protection (Dec → Mar)</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 Desktop</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New workstations added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CrowdStrike — Server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FS01 marked missing</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Huntress — Desktop</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40</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Current: 40 desktops covered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Huntress — Server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Flat</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Cisco Umbrella — Desktop</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37</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43</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Current: 37 desktops covered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Cisco Umbrella — Server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Other Services shows 11</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Phishing Training (PHT)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Enrollment expanded</w:t>
            </w:r>
          </w:p>
        </w:tc>
      </w:tr>
    </w:tbl>
    <w:p>
      <w:pPr>
        <w:spacing w:after="80"/>
      </w:pPr>
      <w:r>
        <w:rPr>
          <w:rFonts w:ascii="Calibri" w:hAnsi="Calibri"/>
          <w:sz w:val="20"/>
        </w:rPr>
        <w:t>As of March 2026, CrowdStrike covers 47 desktops — the most complete deployment and the best indicator of actual device count. Huntress currently covers 40 desktops and Cisco Umbrella covers 37 desktops. Phishing training enrollment expanded significantly from 38 to 85 learners. These March 2026 counts form the billing baseline for 2026 projections.</w:t>
      </w:r>
    </w:p>
    <w:p>
      <w:pPr>
        <w:spacing w:before="160" w:after="80"/>
      </w:pPr>
      <w:r>
        <w:rPr>
          <w:b/>
          <w:color w:val="1F4E79"/>
          <w:sz w:val="22"/>
        </w:rPr>
        <w:t>Monitoring &amp; Management (Dec → Mar)</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Remote — Desktop</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(part of 55)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Current: 46 desktops</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My Remote — Server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(part of 55)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Remote — Total</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Patch Mgmt — Desktop</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42</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(part of 55)</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Current: 42 desktops</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Mgmt — Server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(part of 55)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Patch Mgmt — Total</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Ops Manager — Total</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44</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Reconciled to actual</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WiFi APs (Ops Mgr)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r>
          </w:p>
        </w:tc>
      </w:tr>
    </w:tbl>
    <w:p>
      <w:pPr>
        <w:spacing w:after="80"/>
      </w:pPr>
      <w:r>
        <w:rPr>
          <w:rFonts w:ascii="Calibri" w:hAnsi="Calibri"/>
          <w:sz w:val="20"/>
        </w:rPr>
        <w:t>The Ops Manager device count dropped from 55 to 44, reflecting a reconciliation to actual monitored devices (22 desktops, 13 servers, 5 APs, 2 switches, 1 NAS, 1 print server). Patch Management currently covers 42 desktops and 12 servers (54 total). These counts establish the monitoring baseline for 2026 projections.</w:t>
      </w:r>
    </w:p>
    <w:p>
      <w:pPr>
        <w:spacing w:before="160" w:after="80"/>
      </w:pPr>
      <w:r>
        <w:rPr>
          <w:b/>
          <w:color w:val="1F4E79"/>
          <w:sz w:val="22"/>
        </w:rPr>
        <w:t>Email &amp; Backup Services (Dec → Mar)</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Anti-Spam</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Mailboxes cleaned up</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Image Backup (Servers)</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Flat</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Cloud Backup Storage</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12 TB</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8 TB</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 TB</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Storage expanded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Veeam ONE</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Server 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Disk</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Flat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DKIM/DMARC</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Flat</w:t>
            </w:r>
          </w:p>
        </w:tc>
      </w:tr>
    </w:tbl>
    <w:p>
      <w:pPr>
        <w:spacing w:after="80"/>
      </w:pPr>
      <w:r>
        <w:rPr>
          <w:rFonts w:ascii="Calibri" w:hAnsi="Calibri"/>
          <w:sz w:val="20"/>
        </w:rPr>
        <w:t>Anti-Spam decreased from 89 to 83 as inactive mailboxes were cleaned up. Cloud backup storage expanded significantly from 8 TB to 12 TB (+50%), reflecting growth in backup data volume.</w:t>
      </w:r>
    </w:p>
    <w:p>
      <w:pPr>
        <w:spacing w:before="160" w:after="80"/>
      </w:pPr>
      <w:r>
        <w:rPr>
          <w:b/>
          <w:color w:val="1F4E79"/>
          <w:sz w:val="22"/>
        </w:rPr>
        <w:t>Infrastructure Summary (3/1/2026)</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Count</w:t>
            </w:r>
          </w:p>
        </w:tc>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Detail</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Servers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12–13</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13 in CrowdStrike, 12 in other tools</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Desktops</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47</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Per CrowdStrike (best coverage indicator)</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Network Devices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72</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46 DT, 12 svr, 5 AP, 4 ptr, 2 sw, 1 FW, 1 MPC, 1 NAS</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Users (User List)</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101</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Active user accounts</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M365 Licenses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 E3 + 31 Exch P1</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Plus 7 Audio, 10 Planner, 1 Entra</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Anti-Spam Protected</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83</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Protected mailboxes</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Phishing Training</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85</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Enrolled learners</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Cloud Backup Storage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 TB</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Server cloud backup</w:t>
            </w:r>
          </w:p>
        </w:tc>
      </w:tr>
    </w:tbl>
    <w:p>
      <w:pPr>
        <w:spacing w:before="160" w:after="80"/>
      </w:pPr>
      <w:r>
        <w:rPr>
          <w:b/>
          <w:color w:val="1F4E79"/>
          <w:sz w:val="22"/>
        </w:rPr>
        <w:t>Q1 Growth Summary</w:t>
      </w:r>
    </w:p>
    <w:p>
      <w:pPr>
        <w:spacing w:after="80"/>
      </w:pPr>
      <w:r>
        <w:rPr>
          <w:rFonts w:ascii="Calibri" w:hAnsi="Calibri"/>
          <w:sz w:val="20"/>
        </w:rPr>
        <w:t>The March 2026 baseline reflects the current operational environment: 47 desktops (per CrowdStrike), 12–13 servers, 101 users, and 12 TB cloud backup storage. Key Q1 changes include 4 new workstations added, expanded cloud backup storage (+4 TB), and significantly expanded phishing training enrollment (38 → 85 learners). Anti-spam was cleaned up (-6 mailboxes). The current per-tool coverage levels — CrowdStrike (47 desktops), Huntress (40), Cisco Umbrella (37), Patch Management (42) — represent the billing baseline for 2026 projections. The estimated net monthly cost change from count adjustments is approximately +$358/month, driven primarily by cloud backup expansion (+$200/mo) and phishing training enrollment (+$235/mo), partially offset by reduced anti-spam (-$38/mo) and monitoring consolidation.</w:t>
      </w:r>
    </w:p>
    <w:p>
      <w:pPr>
        <w:spacing w:after="80"/>
      </w:pPr>
      <w:r>
        <w:rPr>
          <w:rFonts w:ascii="Calibri" w:hAnsi="Calibri"/>
          <w:b/>
          <w:sz w:val="20"/>
        </w:rPr>
        <w:t xml:space="preserve">Recommendation: </w:t>
      </w:r>
      <w:r>
        <w:rPr>
          <w:rFonts w:ascii="Calibri" w:hAnsi="Calibri"/>
          <w:sz w:val="20"/>
        </w:rPr>
        <w:t>Establish quarterly count reconciliation to keep invoices aligned with actual deployments as devices are added or removed. The March 2026 service inventory provides the baseline for all 2026 budget projections in Section 8.</w:t>
      </w:r>
    </w:p>
    <w:p>
      <w:r>
        <w:br w:type="page"/>
      </w:r>
    </w:p>
    <w:p>
      <w:pPr>
        <w:pStyle w:val="Heading1"/>
        <w:spacing w:before="240" w:after="120"/>
      </w:pPr>
      <w:r>
        <w:rPr>
          <w:b/>
          <w:color w:val="1F4E79"/>
          <w:sz w:val="32"/>
        </w:rPr>
        <w:t>Section 4: Projects &amp; One-Time Spend (2025)</w:t>
      </w:r>
    </w:p>
    <w:p>
      <w:pPr>
        <w:spacing w:after="80"/>
      </w:pPr>
      <w:r>
        <w:rPr>
          <w:rFonts w:ascii="Calibri" w:hAnsi="Calibri"/>
          <w:sz w:val="20"/>
        </w:rPr>
        <w:t>Total non-contract spend in 2025 was $21,157, broken into hardware purchases, a major CTO project, service setup costs, and ad-hoc labor.</w:t>
      </w:r>
    </w:p>
    <w:p>
      <w:pPr>
        <w:pStyle w:val="Heading2"/>
        <w:spacing w:before="200" w:after="80"/>
      </w:pPr>
      <w:r>
        <w:rPr>
          <w:b/>
          <w:color w:val="1F4E79"/>
          <w:sz w:val="26"/>
        </w:rPr>
        <w:t>4.1 Labor / Project Spend ($9,150)</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Item</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Amount</w:t>
            </w:r>
          </w:p>
        </w:tc>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Date</w:t>
            </w:r>
          </w:p>
        </w:tc>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Recurring?</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CTO — IT Security Manual</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$250/hr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$7,500</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 2025</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Onsite — QNAP Disk Replacement</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$150/hr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May 2025</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No</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Onsite — Seagate EXOS Install</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$150/hr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$300</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May 2025</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Sophos Firewall Installation</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$150/hr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$450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Aug 2025</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No</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Meraki Sensor Installation</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$150/hr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Sep 2025</w:t>
            </w:r>
          </w:p>
        </w:tc>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Other Installation Labor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$150/hr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$450</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Various</w:t>
            </w:r>
          </w:p>
        </w:tc>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No</w:t>
            </w:r>
          </w:p>
        </w:tc>
      </w:tr>
    </w:tbl>
    <w:p>
      <w:pPr>
        <w:spacing w:after="80"/>
      </w:pPr>
      <w:r>
        <w:rPr>
          <w:rFonts w:ascii="Calibri" w:hAnsi="Calibri"/>
          <w:i/>
          <w:color w:val="666666"/>
          <w:sz w:val="18"/>
        </w:rPr>
        <w:t>Note: The IT Security Manual was the single largest one-time project in 2025 — a 30-hour CTO engagement at $250/hr to create comprehensive IT security documentation. This is a one-time deliverable that will not recur.</w:t>
      </w:r>
    </w:p>
    <w:p>
      <w:pPr>
        <w:pStyle w:val="Heading2"/>
        <w:spacing w:before="200" w:after="80"/>
      </w:pPr>
      <w:r>
        <w:rPr>
          <w:b/>
          <w:color w:val="1F4E79"/>
          <w:sz w:val="26"/>
        </w:rPr>
        <w:t>4.2 Hardware Purchases ($9,839)</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Item</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Amount</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Date</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One-Time?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Dell XPS 16 Laptop</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$3,269</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May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CyberPower UPS System</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$3,163</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Jun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Dell Tower Desktop (OptiPlex)</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$1,210</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Oct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Seagate EXOS 20TB Drive</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$474</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May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Docking Stations (x3)</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$786</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May–Jun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QNAP NAS Disk</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$369</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May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Meraki Environmental Sensor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$370</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Sep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Tripp Lite Rackmount Power Strip</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Jun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bl>
    <w:p>
      <w:pPr>
        <w:pStyle w:val="Heading2"/>
        <w:spacing w:before="200" w:after="80"/>
      </w:pPr>
      <w:r>
        <w:rPr>
          <w:b/>
          <w:color w:val="1F4E79"/>
          <w:sz w:val="26"/>
        </w:rPr>
        <w:t>4.3 Software / Service Setup ($2,161)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Item</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Amount</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Date</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Recurs?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Initial Service Setup (Mar transition)</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$1,891</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 (one-time)</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Sophos Firewall Subscription (initial)</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$270</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Aug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 Recurring</w:t>
            </w:r>
          </w:p>
        </w:tc>
      </w:tr>
    </w:tbl>
    <w:p>
      <w:pPr>
        <w:pStyle w:val="Heading2"/>
        <w:spacing w:before="200" w:after="80"/>
      </w:pPr>
      <w:r>
        <w:rPr>
          <w:b/>
          <w:color w:val="1F4E79"/>
          <w:sz w:val="26"/>
        </w:rPr>
        <w:t>4.4 Other One-Time Items ($7)</w:t>
      </w:r>
    </w:p>
    <w:p>
      <w:pPr>
        <w:pStyle w:val="ListBullet"/>
        <w:spacing w:after="40"/>
      </w:pPr>
      <w:r>
        <w:rPr>
          <w:rFonts w:ascii="Calibri" w:hAnsi="Calibri"/>
          <w:b/>
          <w:sz w:val="20"/>
        </w:rPr>
        <w:t>E-Recycling Fees:</w:t>
      </w:r>
      <w:r>
        <w:rPr>
          <w:rFonts w:ascii="Calibri" w:hAnsi="Calibri"/>
          <w:sz w:val="20"/>
        </w:rPr>
        <w:t xml:space="preserve"> $7 — hardware disposal.</w:t>
      </w:r>
    </w:p>
    <w:p>
      <w:pPr>
        <w:pStyle w:val="Heading2"/>
        <w:spacing w:before="200" w:after="80"/>
      </w:pPr>
      <w:r>
        <w:rPr>
          <w:b/>
          <w:color w:val="1F4E79"/>
          <w:sz w:val="26"/>
        </w:rPr>
        <w:t>4.5 Predictability Recommendations</w:t>
      </w:r>
    </w:p>
    <w:p>
      <w:pPr>
        <w:pStyle w:val="ListBullet"/>
        <w:spacing w:after="40"/>
      </w:pPr>
      <w:r>
        <w:rPr>
          <w:rFonts w:ascii="Calibri" w:hAnsi="Calibri"/>
          <w:b/>
          <w:sz w:val="20"/>
        </w:rPr>
        <w:t>Hardware Lifecycle Budget ($5K–$8K/yr):</w:t>
      </w:r>
      <w:r>
        <w:rPr>
          <w:rFonts w:ascii="Calibri" w:hAnsi="Calibri"/>
          <w:sz w:val="20"/>
        </w:rPr>
        <w:t xml:space="preserve"> With 43 desktops on a 4–5 year cycle, plan for 8–10 rolling replacements per year rather than reactive purchases.</w:t>
      </w:r>
    </w:p>
    <w:p>
      <w:pPr>
        <w:pStyle w:val="ListBullet"/>
        <w:spacing w:after="40"/>
      </w:pPr>
      <w:r>
        <w:rPr>
          <w:rFonts w:ascii="Calibri" w:hAnsi="Calibri"/>
          <w:b/>
          <w:sz w:val="20"/>
        </w:rPr>
        <w:t>No Recurring Software Renewals Detected:</w:t>
      </w:r>
      <w:r>
        <w:rPr>
          <w:rFonts w:ascii="Calibri" w:hAnsi="Calibri"/>
          <w:sz w:val="20"/>
        </w:rPr>
        <w:t xml:space="preserve"> Unlike some clients, BWH has no annual QuickBooks, 3CX, or SSL renewal obligations currently. If any are added, include them in a renewal calendar.</w:t>
      </w:r>
    </w:p>
    <w:p>
      <w:pPr>
        <w:pStyle w:val="ListBullet"/>
        <w:spacing w:after="40"/>
      </w:pPr>
      <w:r>
        <w:rPr>
          <w:rFonts w:ascii="Calibri" w:hAnsi="Calibri"/>
          <w:b/>
          <w:sz w:val="20"/>
        </w:rPr>
        <w:t>CTO/Project Budgeting:</w:t>
      </w:r>
      <w:r>
        <w:rPr>
          <w:rFonts w:ascii="Calibri" w:hAnsi="Calibri"/>
          <w:sz w:val="20"/>
        </w:rPr>
        <w:t xml:space="preserve"> The $7,500 IT Security Manual was a one-time engagement. If similar strategic projects are planned for 2026 (compliance audits, policy updates), budget $5K–$10K for ad-hoc CTO work.</w:t>
      </w:r>
    </w:p>
    <w:p>
      <w:pPr>
        <w:pStyle w:val="ListBullet"/>
        <w:spacing w:after="40"/>
      </w:pPr>
      <w:r>
        <w:rPr>
          <w:rFonts w:ascii="Calibri" w:hAnsi="Calibri"/>
          <w:b/>
          <w:sz w:val="20"/>
        </w:rPr>
        <w:t>UPS Replacement Cycle:</w:t>
      </w:r>
      <w:r>
        <w:rPr>
          <w:rFonts w:ascii="Calibri" w:hAnsi="Calibri"/>
          <w:sz w:val="20"/>
        </w:rPr>
        <w:t xml:space="preserve"> The CyberPower UPS ($3,163) is a 5–7 year asset. Factor replacement into long-term budgets.</w:t>
      </w:r>
    </w:p>
    <w:p>
      <w:r>
        <w:br w:type="page"/>
      </w:r>
    </w:p>
    <w:p>
      <w:pPr>
        <w:pStyle w:val="Heading1"/>
        <w:spacing w:before="240" w:after="120"/>
      </w:pPr>
      <w:r>
        <w:rPr>
          <w:b/>
          <w:color w:val="1F4E79"/>
          <w:sz w:val="32"/>
        </w:rPr>
        <w:t>Section 5: Ticket Categorization (2025)</w:t>
      </w:r>
    </w:p>
    <w:p>
      <w:pPr>
        <w:spacing w:after="80"/>
      </w:pPr>
      <w:r>
        <w:rPr>
          <w:rFonts w:ascii="Calibri" w:hAnsi="Calibri"/>
          <w:sz w:val="20"/>
        </w:rPr>
        <w:t>All 2,179 unique tickets were categorized by analyzing ticket titles and descriptions. The following table summarizes the work performed across 17 categories:</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 Tix</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 Hrs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Avg Hrs</w:t>
            </w:r>
          </w:p>
        </w:tc>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Proactive?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808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37.1%</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405</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27.7%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0.50</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 &amp; Endpoint</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209</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131</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9.0%</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0.63</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Software Install/Update</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201</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9.2%</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12.1%</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0.88</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Partial</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 &amp; Alerts</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179</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8.2%</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87</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0.49</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RMM &amp; Agent Mgmt</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7.2%</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7.4%</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0.69</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Server Management</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110</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92</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0.84</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Partial</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&amp; DR</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70</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0.65</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Email &amp; Microsoft 365</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97</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4.5%</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0.80</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General IT Support</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79</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61</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4.2%</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0.78</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Workstation &amp; Hardware</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54</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3.7%</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0.75</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Firewall &amp; Network</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39</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1.43</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File &amp; Permissions</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1.7%</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1.14</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Printing &amp; Scanning</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29</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1.30</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Phone / VoIP</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1.44</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User Onboard/Offboard</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1.09</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Password &amp; Account Mgmt</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0.4%</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0.50</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Domain &amp; SSL</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1.42</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2,179</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100%</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1,459</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100%</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0.67</w:t>
            </w:r>
          </w:p>
        </w:tc>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r>
          </w:p>
        </w:tc>
      </w:tr>
    </w:tbl>
    <w:p>
      <w:pPr>
        <w:pStyle w:val="Heading2"/>
        <w:spacing w:before="200" w:after="80"/>
      </w:pPr>
      <w:r>
        <w:rPr>
          <w:b/>
          <w:color w:val="1F4E79"/>
          <w:sz w:val="26"/>
        </w:rPr>
        <w:t>5.1 Key Observations by Category</w:t>
      </w:r>
    </w:p>
    <w:p>
      <w:pPr>
        <w:spacing w:before="160" w:after="80"/>
      </w:pPr>
      <w:r>
        <w:rPr>
          <w:b/>
          <w:color w:val="1F4E79"/>
          <w:sz w:val="22"/>
        </w:rPr>
        <w:t>Patch Management — 808 tickets (37%), 405 hours (28%)</w:t>
      </w:r>
    </w:p>
    <w:p>
      <w:pPr>
        <w:spacing w:after="80"/>
      </w:pPr>
      <w:r>
        <w:rPr>
          <w:rFonts w:ascii="Calibri" w:hAnsi="Calibri"/>
          <w:sz w:val="20"/>
        </w:rPr>
        <w:t>The single largest category by both ticket count and hours. This is entirely proactive work — identifying and remediating failed or missing patches on workstations and servers. Each patch ticket averages only 0.50 hours, reflecting a systematic, efficient process. This represents the core of the preventive maintenance program.</w:t>
      </w:r>
    </w:p>
    <w:p>
      <w:pPr>
        <w:spacing w:before="160" w:after="80"/>
      </w:pPr>
      <w:r>
        <w:rPr>
          <w:b/>
          <w:color w:val="1F4E79"/>
          <w:sz w:val="22"/>
        </w:rPr>
        <w:t>Security &amp; Endpoint Protection — 209 tickets (10%), 131 hours (9%)</w:t>
      </w:r>
    </w:p>
    <w:p>
      <w:pPr>
        <w:spacing w:after="80"/>
      </w:pPr>
      <w:r>
        <w:rPr>
          <w:rFonts w:ascii="Calibri" w:hAnsi="Calibri"/>
          <w:sz w:val="20"/>
        </w:rPr>
        <w:t>CrowdStrike and Huntress agent updates, version deployments, detection responses, and phishing-related alerts. Proactive security maintenance ensures the endpoint protection stack remains current across all 43 desktops and 12 servers.</w:t>
      </w:r>
    </w:p>
    <w:p>
      <w:pPr>
        <w:spacing w:before="160" w:after="80"/>
      </w:pPr>
      <w:r>
        <w:rPr>
          <w:b/>
          <w:color w:val="1F4E79"/>
          <w:sz w:val="22"/>
        </w:rPr>
        <w:t>Software Installation &amp; Updates — 201 tickets (9%), 176 hours (12%)</w:t>
      </w:r>
    </w:p>
    <w:p>
      <w:pPr>
        <w:spacing w:after="80"/>
      </w:pPr>
      <w:r>
        <w:rPr>
          <w:rFonts w:ascii="Calibri" w:hAnsi="Calibri"/>
          <w:sz w:val="20"/>
        </w:rPr>
        <w:t>Application deployments, updates, and upgrades across the environment. The higher average hours per ticket (0.88) reflects the complexity of coordinating software changes across multiple systems. Classified as "Partial" — some updates are proactive (scheduled) while others are reactive (user-requested).</w:t>
      </w:r>
    </w:p>
    <w:p>
      <w:pPr>
        <w:spacing w:before="160" w:after="80"/>
      </w:pPr>
      <w:r>
        <w:rPr>
          <w:b/>
          <w:color w:val="1F4E79"/>
          <w:sz w:val="22"/>
        </w:rPr>
        <w:t>Monitoring &amp; Alerts — 179 tickets (8%), 87 hours (6%)</w:t>
      </w:r>
    </w:p>
    <w:p>
      <w:pPr>
        <w:spacing w:after="80"/>
      </w:pPr>
      <w:r>
        <w:rPr>
          <w:rFonts w:ascii="Calibri" w:hAnsi="Calibri"/>
          <w:sz w:val="20"/>
        </w:rPr>
        <w:t>Automated monitoring alerts (memory utilization, disk utilization, device response time) from Ops Manager that are triaged and resolved. Very low average resolution time (0.49 hrs = ~29 minutes) indicates efficient triage.</w:t>
      </w:r>
    </w:p>
    <w:p>
      <w:pPr>
        <w:spacing w:before="160" w:after="80"/>
      </w:pPr>
      <w:r>
        <w:rPr>
          <w:b/>
          <w:color w:val="1F4E79"/>
          <w:sz w:val="22"/>
        </w:rPr>
        <w:t>RMM &amp; Agent Management — 157 tickets (7%), 108 hours (7%)</w:t>
      </w:r>
    </w:p>
    <w:p>
      <w:pPr>
        <w:spacing w:after="80"/>
      </w:pPr>
      <w:r>
        <w:rPr>
          <w:rFonts w:ascii="Calibri" w:hAnsi="Calibri"/>
          <w:sz w:val="20"/>
        </w:rPr>
        <w:t>Remote monitoring and management agent maintenance — ensuring RMM agents are running, updated, and reporting correctly across all managed endpoints. Core infrastructure management work.</w:t>
      </w:r>
    </w:p>
    <w:p>
      <w:pPr>
        <w:spacing w:before="160" w:after="80"/>
      </w:pPr>
      <w:r>
        <w:rPr>
          <w:b/>
          <w:color w:val="1F4E79"/>
          <w:sz w:val="22"/>
        </w:rPr>
        <w:t>Email &amp; Microsoft 365 — 97 tickets (4%), 78 hours (5%)</w:t>
      </w:r>
    </w:p>
    <w:p>
      <w:pPr>
        <w:spacing w:after="80"/>
      </w:pPr>
      <w:r>
        <w:rPr>
          <w:rFonts w:ascii="Calibri" w:hAnsi="Calibri"/>
          <w:sz w:val="20"/>
        </w:rPr>
        <w:t>Outlook configuration, Teams support, mailbox management, distribution list changes, and general M365 administration. The largest reactive category by ticket count.</w:t>
      </w:r>
    </w:p>
    <w:p>
      <w:r>
        <w:br w:type="page"/>
      </w:r>
    </w:p>
    <w:p>
      <w:pPr>
        <w:pStyle w:val="Heading1"/>
        <w:spacing w:before="240" w:after="120"/>
      </w:pPr>
      <w:r>
        <w:rPr>
          <w:b/>
          <w:color w:val="1F4E79"/>
          <w:sz w:val="32"/>
        </w:rPr>
        <w:t>Section 6: Service Metrics &amp; Trends</w:t>
      </w:r>
    </w:p>
    <w:p>
      <w:pPr>
        <w:pStyle w:val="Heading2"/>
        <w:spacing w:before="200" w:after="80"/>
      </w:pPr>
      <w:r>
        <w:rPr>
          <w:b/>
          <w:color w:val="1F4E79"/>
          <w:sz w:val="26"/>
        </w:rPr>
        <w:t>6.1 Monthly Ticket Volume &amp; Hours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Month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US Overnight (NH)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US Daytime (AH)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Total Hrs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Hrs/Ticket</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Jan</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262</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82.9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55.8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138.7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0.53</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Feb</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264</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71.6</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43.2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114.8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0.43</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223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97.2</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37.1</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134.3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0.60</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Apr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79.1</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44.7</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123.8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0.67</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May</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73.8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113.6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0.63</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Jun</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86.8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49.2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136.0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0.75</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Jul</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91.9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47.2</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139.0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0.67</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Aug</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214</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113.1</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151.6</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0.71</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Sep</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102.5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67.0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169.5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0.81</w:t>
            </w:r>
          </w:p>
        </w:tc>
      </w:tr>
      <w:tr>
        <w:tc>
          <w:tcPr>
            <w:tcW w:type="dxa" w:w="1738"/>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Oct*</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50</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42.9</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8.4</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51.3</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1.03</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Nov</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59.6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18.4</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79.3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0.79</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Dec</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116</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72.6</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32.0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107.3</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0.92</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Average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183</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81.2</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40.0</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121.6</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0.67</w:t>
            </w:r>
          </w:p>
        </w:tc>
      </w:tr>
    </w:tbl>
    <w:p>
      <w:pPr>
        <w:spacing w:after="80"/>
      </w:pPr>
      <w:r>
        <w:rPr>
          <w:rFonts w:ascii="Calibri" w:hAnsi="Calibri"/>
          <w:i/>
          <w:color w:val="666666"/>
          <w:sz w:val="18"/>
        </w:rPr>
        <w:t>*October: The sharp drop to 50 tickets and 51.3 hours reflects the aftermath of a malware attack affecting other Technijian clients in late September. Support resources were temporarily redirected to incident response and recovery efforts across the affected client base, resulting in reduced routine support volume for BWH during October. This is not a reporting gap — it represents a genuine shift in resource allocation during the incident response period. Normal volumes resumed through November and December.</w:t>
      </w:r>
    </w:p>
    <w:p>
      <w:pPr>
        <w:pStyle w:val="Heading2"/>
        <w:spacing w:before="200" w:after="80"/>
      </w:pPr>
      <w:r>
        <w:rPr>
          <w:b/>
          <w:color w:val="1F4E79"/>
          <w:sz w:val="26"/>
        </w:rPr>
        <w:t>6.2 Notable Trends</w:t>
      </w:r>
    </w:p>
    <w:p>
      <w:pPr>
        <w:pStyle w:val="ListBullet"/>
        <w:spacing w:after="40"/>
      </w:pPr>
      <w:r>
        <w:rPr>
          <w:rFonts w:ascii="Calibri" w:hAnsi="Calibri"/>
          <w:b/>
          <w:sz w:val="20"/>
        </w:rPr>
        <w:t>Proactive vs. Reactive Split:</w:t>
      </w:r>
      <w:r>
        <w:rPr>
          <w:rFonts w:ascii="Calibri" w:hAnsi="Calibri"/>
          <w:sz w:val="20"/>
        </w:rPr>
        <w:t xml:space="preserve"> Approximately 67% of all tickets (1,461) are proactive — patch management, monitoring alerts, security updates, backup management, and RMM agent maintenance. This indicates a strongly preventive maintenance program.</w:t>
      </w:r>
    </w:p>
    <w:p>
      <w:pPr>
        <w:pStyle w:val="ListBullet"/>
        <w:spacing w:after="40"/>
      </w:pPr>
      <w:r>
        <w:rPr>
          <w:rFonts w:ascii="Calibri" w:hAnsi="Calibri"/>
          <w:b/>
          <w:sz w:val="20"/>
        </w:rPr>
        <w:t>Coverage Model:</w:t>
      </w:r>
      <w:r>
        <w:rPr>
          <w:rFonts w:ascii="Calibri" w:hAnsi="Calibri"/>
          <w:sz w:val="20"/>
        </w:rPr>
        <w:t xml:space="preserve"> 974 offshore NH hours provide US overnight monitoring at $15/hr, while 479 offshore AH hours cover US daytime support at $30/hr. This is the intended 24/7 coverage model — the 'after-hours' label reflects India time zones, not a premium-rate issue.</w:t>
      </w:r>
    </w:p>
    <w:p>
      <w:pPr>
        <w:pStyle w:val="ListBullet"/>
        <w:spacing w:after="40"/>
      </w:pPr>
      <w:r>
        <w:rPr>
          <w:rFonts w:ascii="Calibri" w:hAnsi="Calibri"/>
          <w:b/>
          <w:sz w:val="20"/>
        </w:rPr>
        <w:t>Patch Management Volume:</w:t>
      </w:r>
      <w:r>
        <w:rPr>
          <w:rFonts w:ascii="Calibri" w:hAnsi="Calibri"/>
          <w:sz w:val="20"/>
        </w:rPr>
        <w:t xml:space="preserve"> 808 tickets (37% of all work) is substantial. While essential, this high volume suggests opportunities for automation — reducing patch failure rates would directly lower remediation ticket volume.</w:t>
      </w:r>
    </w:p>
    <w:p>
      <w:pPr>
        <w:pStyle w:val="ListBullet"/>
        <w:spacing w:after="40"/>
      </w:pPr>
      <w:r>
        <w:rPr>
          <w:rFonts w:ascii="Calibri" w:hAnsi="Calibri"/>
          <w:b/>
          <w:sz w:val="20"/>
        </w:rPr>
        <w:t>Q4 Volume Drop:</w:t>
      </w:r>
      <w:r>
        <w:rPr>
          <w:rFonts w:ascii="Calibri" w:hAnsi="Calibri"/>
          <w:sz w:val="20"/>
        </w:rPr>
        <w:t xml:space="preserve"> Oct–Dec saw 266 total tickets vs. 749 in Q1 and 571 in Q2. The October dip was caused by a late-September malware attack across other Technijian clients, which temporarily redirected support resources to incident response. November and December volumes recovered to 100 and 116 tickets respectively as normal operations resumed.</w:t>
      </w:r>
    </w:p>
    <w:p>
      <w:pPr>
        <w:pStyle w:val="ListBullet"/>
        <w:spacing w:after="40"/>
      </w:pPr>
      <w:r>
        <w:rPr>
          <w:rFonts w:ascii="Calibri" w:hAnsi="Calibri"/>
          <w:b/>
          <w:sz w:val="20"/>
        </w:rPr>
        <w:t>Weekend Coverage:</w:t>
      </w:r>
      <w:r>
        <w:rPr>
          <w:rFonts w:ascii="Calibri" w:hAnsi="Calibri"/>
          <w:sz w:val="20"/>
        </w:rPr>
        <w:t xml:space="preserve"> 27.5% of entries fall on weekends, confirming robust 7-day monitoring coverage.</w:t>
      </w:r>
    </w:p>
    <w:p>
      <w:pPr>
        <w:pStyle w:val="Heading2"/>
        <w:spacing w:before="200" w:after="80"/>
      </w:pPr>
      <w:r>
        <w:rPr>
          <w:b/>
          <w:color w:val="1F4E79"/>
          <w:sz w:val="26"/>
        </w:rPr>
        <w:t>6.3 Proactive Recommendations for 2026</w:t>
      </w:r>
    </w:p>
    <w:p>
      <w:pPr>
        <w:pStyle w:val="ListBullet"/>
        <w:spacing w:after="40"/>
      </w:pPr>
      <w:r>
        <w:rPr>
          <w:rFonts w:ascii="Calibri" w:hAnsi="Calibri"/>
          <w:b/>
          <w:sz w:val="20"/>
        </w:rPr>
        <w:t>Patch Automation (est. reduction: 100–200 tickets/yr):</w:t>
      </w:r>
      <w:r>
        <w:rPr>
          <w:rFonts w:ascii="Calibri" w:hAnsi="Calibri"/>
          <w:sz w:val="20"/>
        </w:rPr>
        <w:t xml:space="preserve"> With 808 patch tickets consuming 405 hours, investing in improved patch automation (auto-remediation, better scheduling) could significantly reduce manual remediation effort.</w:t>
      </w:r>
    </w:p>
    <w:p>
      <w:pPr>
        <w:pStyle w:val="ListBullet"/>
        <w:spacing w:after="40"/>
      </w:pPr>
      <w:r>
        <w:rPr>
          <w:rFonts w:ascii="Calibri" w:hAnsi="Calibri"/>
          <w:b/>
          <w:sz w:val="20"/>
        </w:rPr>
        <w:t>Post-Incident Review:</w:t>
      </w:r>
      <w:r>
        <w:rPr>
          <w:rFonts w:ascii="Calibri" w:hAnsi="Calibri"/>
          <w:sz w:val="20"/>
        </w:rPr>
        <w:t xml:space="preserve"> The late-September malware attack across other Technijian clients temporarily reduced BWH support coverage in October. Ensure incident response resource planning accounts for multi-client events so that routine support for unaffected clients is maintained.</w:t>
      </w:r>
    </w:p>
    <w:p>
      <w:pPr>
        <w:pStyle w:val="ListBullet"/>
        <w:spacing w:after="40"/>
      </w:pPr>
      <w:r>
        <w:rPr>
          <w:rFonts w:ascii="Calibri" w:hAnsi="Calibri"/>
          <w:b/>
          <w:sz w:val="20"/>
        </w:rPr>
        <w:t>Coverage Balance Review:</w:t>
      </w:r>
      <w:r>
        <w:rPr>
          <w:rFonts w:ascii="Calibri" w:hAnsi="Calibri"/>
          <w:sz w:val="20"/>
        </w:rPr>
        <w:t xml:space="preserve"> The 479 offshore AH hours (US daytime at $30/hr) and 974 offshore NH hours (US overnight at $15/hr) reflect the intended 24/7 coverage model. Monitor the ratio to ensure US daytime demand is adequately staffed.</w:t>
      </w:r>
    </w:p>
    <w:p>
      <w:pPr>
        <w:pStyle w:val="ListBullet"/>
        <w:spacing w:after="40"/>
      </w:pPr>
      <w:r>
        <w:rPr>
          <w:rFonts w:ascii="Calibri" w:hAnsi="Calibri"/>
          <w:b/>
          <w:sz w:val="20"/>
        </w:rPr>
        <w:t>Hardware Refresh Planning:</w:t>
      </w:r>
      <w:r>
        <w:rPr>
          <w:rFonts w:ascii="Calibri" w:hAnsi="Calibri"/>
          <w:sz w:val="20"/>
        </w:rPr>
        <w:t xml:space="preserve"> Budget $5K–$8K annually for rolling workstation replacements (43 desktops on a 4–5 year lifecycle).</w:t>
      </w:r>
    </w:p>
    <w:p>
      <w:pPr>
        <w:pStyle w:val="ListBullet"/>
        <w:spacing w:after="40"/>
      </w:pPr>
      <w:r>
        <w:rPr>
          <w:rFonts w:ascii="Calibri" w:hAnsi="Calibri"/>
          <w:b/>
          <w:sz w:val="20"/>
        </w:rPr>
        <w:t>Quarterly Count Reconciliation:</w:t>
      </w:r>
      <w:r>
        <w:rPr>
          <w:rFonts w:ascii="Calibri" w:hAnsi="Calibri"/>
          <w:sz w:val="20"/>
        </w:rPr>
        <w:t xml:space="preserve"> Establish quarterly reviews to ensure billed service counts match actual deployments as devices are added or removed.</w:t>
      </w:r>
    </w:p>
    <w:p>
      <w:pPr>
        <w:pStyle w:val="ListBullet"/>
        <w:spacing w:after="40"/>
      </w:pPr>
      <w:r>
        <w:rPr>
          <w:rFonts w:ascii="Calibri" w:hAnsi="Calibri"/>
          <w:b/>
          <w:sz w:val="20"/>
        </w:rPr>
        <w:t>Quarterly Business Reviews:</w:t>
      </w:r>
      <w:r>
        <w:rPr>
          <w:rFonts w:ascii="Calibri" w:hAnsi="Calibri"/>
          <w:sz w:val="20"/>
        </w:rPr>
        <w:t xml:space="preserve"> Implement structured QBRs to review ticket trends, service utilization, and project pipeline.</w:t>
      </w:r>
    </w:p>
    <w:p>
      <w:r>
        <w:br w:type="page"/>
      </w:r>
    </w:p>
    <w:p>
      <w:pPr>
        <w:pStyle w:val="Heading1"/>
        <w:spacing w:before="240" w:after="120"/>
      </w:pPr>
      <w:r>
        <w:rPr>
          <w:b/>
          <w:color w:val="1F4E79"/>
          <w:sz w:val="32"/>
        </w:rPr>
        <w:t>Section 7: Summary</w:t>
      </w:r>
    </w:p>
    <w:p>
      <w:pPr>
        <w:spacing w:after="80"/>
      </w:pPr>
      <w:r>
        <w:rPr>
          <w:rFonts w:ascii="Calibri" w:hAnsi="Calibri"/>
          <w:sz w:val="20"/>
        </w:rPr>
        <w:t>BWH's IT support structure is comprehensive and well-functioning. The model delivers 1,459 hours of support across 2,179 tickets annually, with 7-day coverage and deep expertise across infrastructure, security, patching, and end-user support.</w:t>
      </w:r>
    </w:p>
    <w:p>
      <w:pPr>
        <w:spacing w:after="80"/>
      </w:pPr>
      <w:r>
        <w:rPr>
          <w:rFonts w:ascii="Calibri" w:hAnsi="Calibri"/>
          <w:sz w:val="20"/>
        </w:rPr>
        <w:t>At $133,258 total spend for 101 active users (47 desktops, 12 servers), the per-user IT cost is approximately $1,319/year. This covers fully managed infrastructure, security, backup, monitoring, email protection, and advisory services.</w:t>
      </w:r>
    </w:p>
    <w:p>
      <w:pPr>
        <w:spacing w:after="80"/>
      </w:pPr>
      <w:r>
        <w:rPr>
          <w:rFonts w:ascii="Calibri" w:hAnsi="Calibri"/>
          <w:sz w:val="20"/>
        </w:rPr>
        <w:t>The ticket categorization reveals a healthy proactive/reactive balance: 67% of tickets are proactive (patching, monitoring, security, backups, RMM). The primary optimization opportunities are:</w:t>
      </w:r>
    </w:p>
    <w:p>
      <w:pPr>
        <w:pStyle w:val="ListBullet"/>
        <w:spacing w:after="40"/>
      </w:pPr>
      <w:r>
        <w:rPr>
          <w:rFonts w:ascii="Calibri" w:hAnsi="Calibri"/>
          <w:b/>
          <w:sz w:val="20"/>
        </w:rPr>
        <w:t>Patch Automation:</w:t>
      </w:r>
      <w:r>
        <w:rPr>
          <w:rFonts w:ascii="Calibri" w:hAnsi="Calibri"/>
          <w:sz w:val="20"/>
        </w:rPr>
        <w:t xml:space="preserve"> 808 tickets (37% of all work) in patching. Reducing patch failure rates through better automation would meaningfully reduce ticket volume.</w:t>
      </w:r>
    </w:p>
    <w:p>
      <w:pPr>
        <w:pStyle w:val="ListBullet"/>
        <w:spacing w:after="40"/>
      </w:pPr>
      <w:r>
        <w:rPr>
          <w:rFonts w:ascii="Calibri" w:hAnsi="Calibri"/>
          <w:b/>
          <w:sz w:val="20"/>
        </w:rPr>
        <w:t>Coverage Model Efficiency:</w:t>
      </w:r>
      <w:r>
        <w:rPr>
          <w:rFonts w:ascii="Calibri" w:hAnsi="Calibri"/>
          <w:sz w:val="20"/>
        </w:rPr>
        <w:t xml:space="preserve"> The blended labor rate of $36.50/hr for IT support reflects strong offshore leverage. 86% of support hours are offshore, keeping costs low while maintaining 24/7 coverage.</w:t>
      </w:r>
    </w:p>
    <w:p>
      <w:pPr>
        <w:pStyle w:val="ListBullet"/>
        <w:spacing w:after="40"/>
      </w:pPr>
      <w:r>
        <w:rPr>
          <w:rFonts w:ascii="Calibri" w:hAnsi="Calibri"/>
          <w:b/>
          <w:sz w:val="20"/>
        </w:rPr>
        <w:t>Hardware Lifecycle:</w:t>
      </w:r>
      <w:r>
        <w:rPr>
          <w:rFonts w:ascii="Calibri" w:hAnsi="Calibri"/>
          <w:sz w:val="20"/>
        </w:rPr>
        <w:t xml:space="preserve"> Establish a rolling replacement budget ($5K–$8K/yr) to avoid reactive hardware purchases.</w:t>
      </w:r>
    </w:p>
    <w:p>
      <w:pPr>
        <w:pStyle w:val="ListBullet"/>
        <w:spacing w:after="40"/>
      </w:pPr>
      <w:r>
        <w:rPr>
          <w:rFonts w:ascii="Calibri" w:hAnsi="Calibri"/>
          <w:b/>
          <w:sz w:val="20"/>
        </w:rPr>
        <w:t>Current Service Baseline:</w:t>
      </w:r>
      <w:r>
        <w:rPr>
          <w:rFonts w:ascii="Calibri" w:hAnsi="Calibri"/>
          <w:sz w:val="20"/>
        </w:rPr>
        <w:t xml:space="preserve"> As of March 2026, CrowdStrike covers 47 desktops, Huntress covers 40, Cisco Umbrella covers 37, and Patch Management covers 42. These counts form the billing baseline for 2026 projections.</w:t>
      </w:r>
    </w:p>
    <w:p>
      <w:pPr>
        <w:pStyle w:val="ListBullet"/>
        <w:spacing w:after="40"/>
      </w:pPr>
      <w:r>
        <w:rPr>
          <w:rFonts w:ascii="Calibri" w:hAnsi="Calibri"/>
          <w:b/>
          <w:sz w:val="20"/>
        </w:rPr>
        <w:t>Service Count Alignment:</w:t>
      </w:r>
      <w:r>
        <w:rPr>
          <w:rFonts w:ascii="Calibri" w:hAnsi="Calibri"/>
          <w:sz w:val="20"/>
        </w:rPr>
        <w:t xml:space="preserve"> Q1 2026 shows +4 desktops, +4 TB backup storage, and +47 phishing training enrollments. Net monthly increase of ~$358/mo. Quarterly reconciliation recommended.</w:t>
      </w:r>
    </w:p>
    <w:p>
      <w:pPr>
        <w:pStyle w:val="ListBullet"/>
        <w:spacing w:after="40"/>
      </w:pPr>
      <w:r>
        <w:rPr>
          <w:rFonts w:ascii="Calibri" w:hAnsi="Calibri"/>
          <w:b/>
          <w:sz w:val="20"/>
        </w:rPr>
        <w:t>Predictability:</w:t>
      </w:r>
      <w:r>
        <w:rPr>
          <w:rFonts w:ascii="Calibri" w:hAnsi="Calibri"/>
          <w:sz w:val="20"/>
        </w:rPr>
        <w:t xml:space="preserve"> The $7,500 CTO security manual and $9,839 hardware spend were the two largest one-time items. Budgeting for ad-hoc projects and hardware refresh reduces surprises.</w:t>
      </w:r>
    </w:p>
    <w:p>
      <w:pPr>
        <w:spacing w:after="80"/>
      </w:pPr>
      <w:r>
        <w:rPr>
          <w:rFonts w:ascii="Calibri" w:hAnsi="Calibri"/>
          <w:sz w:val="20"/>
        </w:rPr>
        <w:t>We are confident that with these adjustments, BWH will enter 2026 well-supported and operating efficiently.</w:t>
      </w:r>
    </w:p>
    <w:p>
      <w:r>
        <w:br w:type="page"/>
      </w:r>
    </w:p>
    <w:p>
      <w:pPr>
        <w:pStyle w:val="Heading1"/>
        <w:spacing w:before="240" w:after="120"/>
      </w:pPr>
      <w:r>
        <w:rPr>
          <w:b/>
          <w:color w:val="1F4E79"/>
          <w:sz w:val="32"/>
        </w:rPr>
        <w:t>Section 8: 2026 Budget Projections</w:t>
      </w:r>
    </w:p>
    <w:p>
      <w:pPr>
        <w:spacing w:after="80"/>
      </w:pPr>
      <w:r>
        <w:rPr>
          <w:rFonts w:ascii="Calibri" w:hAnsi="Calibri"/>
          <w:sz w:val="20"/>
        </w:rPr>
        <w:t>The following projections use 2025 actuals as the baseline, adjusted for the contract adjustments that occurred mid-2025, the 3/1/2026 service inventory true-up, and known changes.</w:t>
      </w:r>
    </w:p>
    <w:p>
      <w:pPr>
        <w:pStyle w:val="Heading2"/>
        <w:spacing w:before="200" w:after="80"/>
      </w:pPr>
      <w:r>
        <w:rPr>
          <w:b/>
          <w:color w:val="1F4E79"/>
          <w:sz w:val="26"/>
        </w:rPr>
        <w:t>8.1 Contract Cycle &amp; Adjustments</w:t>
      </w:r>
    </w:p>
    <w:p>
      <w:pPr>
        <w:spacing w:after="80"/>
      </w:pPr>
      <w:r>
        <w:rPr>
          <w:rFonts w:ascii="Calibri" w:hAnsi="Calibri"/>
          <w:b/>
          <w:sz w:val="20"/>
        </w:rPr>
        <w:t xml:space="preserve">Detected Pattern: </w:t>
      </w:r>
      <w:r>
        <w:rPr>
          <w:rFonts w:ascii="Calibri" w:hAnsi="Calibri"/>
          <w:sz w:val="20"/>
        </w:rPr>
        <w:t>A single contract adjustment occurred in April/May 2025:</w:t>
      </w:r>
    </w:p>
    <w:p>
      <w:pPr>
        <w:pStyle w:val="ListBullet"/>
        <w:spacing w:after="40"/>
      </w:pPr>
      <w:r>
        <w:rPr>
          <w:rFonts w:ascii="Calibri" w:hAnsi="Calibri"/>
          <w:sz w:val="20"/>
        </w:rPr>
        <w:t>US Tech Support hours decreased from ~18.2 hrs/month to ~12.4 hrs/month (-32%)</w:t>
      </w:r>
    </w:p>
    <w:p>
      <w:pPr>
        <w:pStyle w:val="ListBullet"/>
        <w:spacing w:after="40"/>
      </w:pPr>
      <w:r>
        <w:rPr>
          <w:rFonts w:ascii="Calibri" w:hAnsi="Calibri"/>
          <w:sz w:val="20"/>
        </w:rPr>
        <w:t>Offshore NH hours increased from ~37.5 hrs/month to ~51.6 hrs/month (+38%)</w:t>
      </w:r>
    </w:p>
    <w:p>
      <w:pPr>
        <w:pStyle w:val="ListBullet"/>
        <w:spacing w:after="40"/>
      </w:pPr>
      <w:r>
        <w:rPr>
          <w:rFonts w:ascii="Calibri" w:hAnsi="Calibri"/>
          <w:sz w:val="20"/>
        </w:rPr>
        <w:t>Offshore AH hours increased from ~38.9 hrs/month to ~45.4 hrs/month (+17%)</w:t>
      </w:r>
    </w:p>
    <w:p>
      <w:pPr>
        <w:pStyle w:val="ListBullet"/>
        <w:spacing w:after="40"/>
      </w:pPr>
      <w:r>
        <w:rPr>
          <w:rFonts w:ascii="Calibri" w:hAnsi="Calibri"/>
          <w:sz w:val="20"/>
        </w:rPr>
        <w:t>Rates remained unchanged across all roles</w:t>
      </w:r>
    </w:p>
    <w:p>
      <w:pPr>
        <w:pStyle w:val="ListBullet"/>
        <w:spacing w:after="40"/>
      </w:pPr>
      <w:r>
        <w:rPr>
          <w:rFonts w:ascii="Calibri" w:hAnsi="Calibri"/>
          <w:sz w:val="20"/>
        </w:rPr>
        <w:t>Several service items (Anti-Spam, Phishing Training) moved from Monthly to Recurring billing</w:t>
      </w:r>
    </w:p>
    <w:p>
      <w:pPr>
        <w:pStyle w:val="ListBullet"/>
        <w:spacing w:after="40"/>
      </w:pPr>
      <w:r>
        <w:rPr>
          <w:rFonts w:ascii="Calibri" w:hAnsi="Calibri"/>
          <w:sz w:val="20"/>
        </w:rPr>
        <w:t>Pen Testing was removed from the monthly invoice after July</w:t>
      </w:r>
    </w:p>
    <w:p>
      <w:pPr>
        <w:spacing w:after="80"/>
      </w:pPr>
      <w:r>
        <w:rPr>
          <w:rFonts w:ascii="Calibri" w:hAnsi="Calibri"/>
          <w:sz w:val="20"/>
        </w:rPr>
        <w:t>This represents a cost optimization shift — moving labor from US-based ($125/hr) to offshore ($15–30/hr) while expanding the offshore team's coverage hours. The net effect increased total managed services while reducing per-hour labor costs.</w:t>
      </w:r>
    </w:p>
    <w:p>
      <w:pPr>
        <w:spacing w:after="80"/>
      </w:pPr>
      <w:r>
        <w:rPr>
          <w:rFonts w:ascii="Calibri" w:hAnsi="Calibri"/>
          <w:i/>
          <w:color w:val="666666"/>
          <w:sz w:val="18"/>
        </w:rPr>
        <w:t>No fixed 3/6/12-month cycle was detected. The adjustment appears to have been a one-time contract right-sizing. We recommend establishing a semi-annual review cadence going forward.</w:t>
      </w:r>
    </w:p>
    <w:p>
      <w:pPr>
        <w:pStyle w:val="Heading2"/>
        <w:spacing w:before="200" w:after="80"/>
      </w:pPr>
      <w:r>
        <w:rPr>
          <w:b/>
          <w:color w:val="1F4E79"/>
          <w:sz w:val="26"/>
        </w:rPr>
        <w:t>8.2 Support Cycle Analysis: Billed vs. Actual Hours</w:t>
      </w:r>
    </w:p>
    <w:p>
      <w:pPr>
        <w:spacing w:after="80"/>
      </w:pPr>
      <w:r>
        <w:rPr>
          <w:rFonts w:ascii="Calibri" w:hAnsi="Calibri"/>
          <w:sz w:val="20"/>
        </w:rPr>
        <w:t>A critical input for 2026 projections is whether the current labor allotments match actual demand. The April/May 2025 contract adjustment shifted hours from US-based to offshore support. Analyzing the current cycle (May–Dec 2025) reveals significant misalignment:</w:t>
      </w:r>
    </w:p>
    <w:p>
      <w:pPr>
        <w:spacing w:before="160" w:after="80"/>
      </w:pPr>
      <w:r>
        <w:rPr>
          <w:b/>
          <w:color w:val="1F4E79"/>
          <w:sz w:val="22"/>
        </w:rPr>
        <w:t>Billed vs. Actual Hours — Current Cycle (May–Dec 2025 Average)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Billed Hrs/Mo</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Actual Hrs/Mo</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Utilization</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Status</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IT Support ($125/hr)</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12.4</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20.9</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166%</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Under-provisioned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NH ($15/hr)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51.6</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115%</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Slightly under</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AH ($30/hr)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45.4</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Over-provisioned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 Architect ($200/hr)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N/A (retainer)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Fixed retainer</w:t>
            </w:r>
          </w:p>
        </w:tc>
      </w:tr>
    </w:tbl>
    <w:p>
      <w:pPr>
        <w:spacing w:after="80"/>
      </w:pPr>
      <w:r>
        <w:rPr>
          <w:rFonts w:ascii="Calibri" w:hAnsi="Calibri"/>
          <w:b/>
          <w:sz w:val="20"/>
        </w:rPr>
        <w:t xml:space="preserve">Key Finding — IT Support is significantly under-billed. </w:t>
      </w:r>
      <w:r>
        <w:rPr>
          <w:rFonts w:ascii="Calibri" w:hAnsi="Calibri"/>
          <w:sz w:val="20"/>
        </w:rPr>
        <w:t>The April contract adjustment reduced US Tech Support from ~18.2 to ~12.4 hrs/month, but actual demand averaged 20.9 hrs/month during the current cycle — a 166% utilization rate. Several months were extreme: August hit 31.8 actual hours (255%) and September hit 38.8 hours (312%). At $125/hr, the ~8.5 hrs/month shortfall represents approximately $1,063/month ($12,750/year) in labor delivered above the contracted amount.</w:t>
      </w:r>
    </w:p>
    <w:p>
      <w:pPr>
        <w:spacing w:after="80"/>
      </w:pPr>
      <w:r>
        <w:rPr>
          <w:rFonts w:ascii="Calibri" w:hAnsi="Calibri"/>
          <w:sz w:val="20"/>
        </w:rPr>
        <w:t>Offshore NH hours are running slightly above contracted (115%), which is manageable at $15/hr. Offshore AH hours are over-provisioned at 82% utilization — the contract allots more US-daytime offshore hours than are being consumed.</w:t>
      </w:r>
    </w:p>
    <w:p>
      <w:pPr>
        <w:spacing w:after="80"/>
      </w:pPr>
      <w:r>
        <w:rPr>
          <w:rFonts w:ascii="Calibri" w:hAnsi="Calibri"/>
          <w:i/>
          <w:color w:val="666666"/>
          <w:sz w:val="18"/>
        </w:rPr>
        <w:t>Note: October actual hours were depressed across all roles due to the late-September malware attack redirecting resources. Excluding October, the IT Support utilization rate would be even higher.</w:t>
      </w:r>
    </w:p>
    <w:p>
      <w:pPr>
        <w:spacing w:before="160" w:after="80"/>
      </w:pPr>
      <w:r>
        <w:rPr>
          <w:b/>
          <w:color w:val="1F4E79"/>
          <w:sz w:val="22"/>
        </w:rPr>
        <w:t>Recommended Right-Sizing for Next Contract Cycle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Current Allot.</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Recommended</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 Cost</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Change/Mo</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IT Support</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12.4 hrs</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23.0 hrs</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$125/hr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$2,875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+$1,325</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NH</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51.6 hrs</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66.5 hrs</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$15/hr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$998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+$224</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AH</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45.4 hrs</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41.0 hrs</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$30/hr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$1,230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-$132</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 Architect</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 hrs</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 hrs</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$200/hr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$6,103</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+$1,417</w:t>
            </w:r>
          </w:p>
        </w:tc>
      </w:tr>
    </w:tbl>
    <w:p>
      <w:pPr>
        <w:spacing w:after="80"/>
      </w:pPr>
      <w:r>
        <w:rPr>
          <w:rFonts w:ascii="Calibri" w:hAnsi="Calibri"/>
          <w:sz w:val="20"/>
        </w:rPr>
        <w:t>The recommended allotments include a ~10% buffer above trailing averages. The net monthly labor increase would be approximately +$1,417/month (+$17,000/year), driven almost entirely by right-sizing the US Tech Support allotment. The offshore AH reduction partially offsets the increases.</w:t>
      </w:r>
    </w:p>
    <w:p>
      <w:pPr>
        <w:pStyle w:val="Heading2"/>
        <w:spacing w:before="200" w:after="80"/>
      </w:pPr>
      <w:r>
        <w:rPr>
          <w:b/>
          <w:color w:val="1F4E79"/>
          <w:sz w:val="26"/>
        </w:rPr>
        <w:t>8.3 Labor Projections</w:t>
      </w:r>
    </w:p>
    <w:p>
      <w:pPr>
        <w:spacing w:after="80"/>
      </w:pPr>
      <w:r>
        <w:rPr>
          <w:rFonts w:ascii="Calibri" w:hAnsi="Calibri"/>
          <w:sz w:val="20"/>
        </w:rPr>
        <w:t>The labor projection presents two scenarios: (A) current contract unchanged, and (B) right-sized to match actual utilization.</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Component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Scenario A</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Scenario B (Rec.)</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Monthly Contracted Labor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$57,329</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$57,660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$73,230</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One-Time Labor (CTO/Projects)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$9,150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$2,000</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Labor</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$66,479</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$59,660</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$75,230</w:t>
            </w:r>
          </w:p>
        </w:tc>
      </w:tr>
    </w:tbl>
    <w:p>
      <w:pPr>
        <w:spacing w:after="80"/>
      </w:pPr>
      <w:r>
        <w:rPr>
          <w:rFonts w:ascii="Calibri" w:hAnsi="Calibri"/>
          <w:b/>
          <w:sz w:val="20"/>
        </w:rPr>
        <w:t xml:space="preserve">Scenario A (Current Contract): </w:t>
      </w:r>
      <w:r>
        <w:rPr>
          <w:rFonts w:ascii="Calibri" w:hAnsi="Calibri"/>
          <w:sz w:val="20"/>
        </w:rPr>
        <w:t>Scenario A continues the December 2025 run rate (~$4,805/month). However, this perpetuates the IT Support under-provisioning — Technijian would deliver ~$12,750 in labor above the contracted amount annually.</w:t>
      </w:r>
    </w:p>
    <w:p>
      <w:pPr>
        <w:spacing w:after="80"/>
      </w:pPr>
      <w:r>
        <w:rPr>
          <w:rFonts w:ascii="Calibri" w:hAnsi="Calibri"/>
          <w:b/>
          <w:sz w:val="20"/>
        </w:rPr>
        <w:t xml:space="preserve">Scenario B (Right-Sized — Recommended): </w:t>
      </w:r>
      <w:r>
        <w:rPr>
          <w:rFonts w:ascii="Calibri" w:hAnsi="Calibri"/>
          <w:sz w:val="20"/>
        </w:rPr>
        <w:t>Adjusts allotments to match actual utilization with a 10% buffer. Monthly labor increases to ~$6,103/month ($73,230/year). The IT Support increase (+$1,325/mo) is the primary driver. We recommend Scenario B for the next contract adjustment.</w:t>
      </w:r>
    </w:p>
    <w:p>
      <w:pPr>
        <w:pStyle w:val="Heading2"/>
        <w:spacing w:before="200" w:after="80"/>
      </w:pPr>
      <w:r>
        <w:rPr>
          <w:b/>
          <w:color w:val="1F4E79"/>
          <w:sz w:val="26"/>
        </w:rPr>
        <w:t>8.4 Managed Services Projections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Component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Projected</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Monthly Services (Dec rate)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$38,135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$41,628</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+$3,493</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Q1 2026 Count Adjustments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+$1,896</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+$1,896</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Managed Services</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$38,135</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$43,524</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+$5,389</w:t>
            </w:r>
          </w:p>
        </w:tc>
      </w:tr>
    </w:tbl>
    <w:p>
      <w:pPr>
        <w:spacing w:after="80"/>
      </w:pPr>
      <w:r>
        <w:rPr>
          <w:rFonts w:ascii="Calibri" w:hAnsi="Calibri"/>
          <w:sz w:val="20"/>
        </w:rPr>
        <w:t>The December 2025 services run rate of ~$3,469/month is the baseline. The 3/1/2026 service inventory true-up adds approximately +$158/month from net count changes: +4 CrowdStrike desktops, +1 server, expanded phishing training (+47 learners), partially offset by reduced anti-spam (-6), Ops Manager consolidation (-11 devices), and Cisco Umbrella gaps (-6 desktops). A full 12 months at the adjusted rate of ~$3,627/month yields $43,524.</w:t>
      </w:r>
    </w:p>
    <w:p>
      <w:pPr>
        <w:pStyle w:val="Heading2"/>
        <w:spacing w:before="200" w:after="80"/>
      </w:pPr>
      <w:r>
        <w:rPr>
          <w:b/>
          <w:color w:val="1F4E79"/>
          <w:sz w:val="26"/>
        </w:rPr>
        <w:t>8.5 Recurring Licensing Projections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Component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Projected</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Cybertraining</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$3,735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$4,980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+$1,245</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Server Cloud Backup (8→12 TB)</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+$3,600</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Anti-Spam Standard (83 users)</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$3,631</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$6,225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+$2,594</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M365 Backup Storage</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$2,250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+$750</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Veeam 365 Backup</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$1,868</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$2,490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+$622</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Sophos Firewall</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$1,080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$3,240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+$2,160</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Edge Appliance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$1,200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+$800</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Entra ID P1</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$72</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Recurring</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$16,636</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$28,407</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+$11,771</w:t>
            </w:r>
          </w:p>
        </w:tc>
      </w:tr>
    </w:tbl>
    <w:p>
      <w:pPr>
        <w:spacing w:after="80"/>
      </w:pPr>
      <w:r>
        <w:rPr>
          <w:rFonts w:ascii="Calibri" w:hAnsi="Calibri"/>
          <w:i/>
          <w:color w:val="666666"/>
          <w:sz w:val="18"/>
        </w:rPr>
        <w:t>The large year-over-year increase reflects: (1) partial-year billing in 2025 — many items transitioned from Monthly to Recurring in April (9 months billed), Sophos/Edge started in September (4 months); (2) cloud backup storage expansion from 8 TB to 12 TB (+$200/month). The corresponding Monthly invoice decreased when items moved to Recurring. The combined total is the better comparison.</w:t>
      </w:r>
    </w:p>
    <w:p>
      <w:pPr>
        <w:pStyle w:val="Heading2"/>
        <w:spacing w:before="200" w:after="80"/>
      </w:pPr>
      <w:r>
        <w:rPr>
          <w:b/>
          <w:color w:val="1F4E79"/>
          <w:sz w:val="26"/>
        </w:rPr>
        <w:t>8.6 One-Time &amp; Project Spend</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Component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Budget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Hardware Lifecycle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$9,839</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$7,500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-$2,339</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CTO / Project Labor</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$9,150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-$7,150</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Service Setup</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$2,161</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-$2,161</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Other</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One-Time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$21,157</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$9,500</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-$11,657</w:t>
            </w:r>
          </w:p>
        </w:tc>
      </w:tr>
    </w:tbl>
    <w:p>
      <w:pPr>
        <w:spacing w:after="80"/>
      </w:pPr>
      <w:r>
        <w:rPr>
          <w:rFonts w:ascii="Calibri" w:hAnsi="Calibri"/>
          <w:sz w:val="20"/>
        </w:rPr>
        <w:t>The CTO IT Security Manual ($7,500) and initial service setup charges ($2,161) were one-time items that will not recur. Hardware budget of $7,500 funds 2–3 workstation replacements or infrastructure needs.</w:t>
      </w:r>
    </w:p>
    <w:p>
      <w:r>
        <w:br w:type="page"/>
      </w:r>
    </w:p>
    <w:p>
      <w:pPr>
        <w:pStyle w:val="Heading2"/>
        <w:spacing w:before="200" w:after="80"/>
      </w:pPr>
      <w:r>
        <w:rPr>
          <w:b/>
          <w:color w:val="1F4E79"/>
          <w:sz w:val="26"/>
        </w:rPr>
        <w:t>8.7 Total 2026 Projection Summary</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Scenario A</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Scenario B (Rec.)</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Monthly Contract (Labor)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$57,329</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$57,660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$73,230</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Monthly Contract (Services)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$38,135</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$43,524</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$43,524</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Recurring Licensing</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$16,636</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$28,407</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$28,407</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One-Time / Projects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$21,157</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$9,500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$9,500</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2026</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$133,258</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$139,091</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$154,661</w:t>
            </w:r>
          </w:p>
        </w:tc>
      </w:tr>
    </w:tbl>
    <w:p>
      <w:pPr>
        <w:spacing w:after="80"/>
      </w:pPr>
      <w:r>
        <w:rPr>
          <w:rFonts w:ascii="Calibri" w:hAnsi="Calibri"/>
          <w:b/>
          <w:sz w:val="20"/>
        </w:rPr>
        <w:t xml:space="preserve">Scenario A (Current Contract): </w:t>
      </w:r>
      <w:r>
        <w:rPr>
          <w:rFonts w:ascii="Calibri" w:hAnsi="Calibri"/>
          <w:sz w:val="20"/>
        </w:rPr>
        <w:t>Maintains the current labor allotments. Total projected at $139,091 (+4.4%). This scenario continues the under-provisioning of IT Support at $125/hr, meaning Technijian delivers ~$12,750/year in labor above the contracted amount.</w:t>
      </w:r>
    </w:p>
    <w:p>
      <w:pPr>
        <w:spacing w:after="80"/>
      </w:pPr>
      <w:r>
        <w:rPr>
          <w:rFonts w:ascii="Calibri" w:hAnsi="Calibri"/>
          <w:b/>
          <w:sz w:val="20"/>
        </w:rPr>
        <w:t xml:space="preserve">Scenario B (Right-Sized — Recommended): </w:t>
      </w:r>
      <w:r>
        <w:rPr>
          <w:rFonts w:ascii="Calibri" w:hAnsi="Calibri"/>
          <w:sz w:val="20"/>
        </w:rPr>
        <w:t>Adjusts labor allotments to match actual utilization with a 10% buffer. Total projected at $154,661 (+16.1%). The increase is driven by right-sizing the IT Support allotment from 12.4 to 23.0 hrs/month (+$1,325/mo) to reflect actual demand. This eliminates the under-billing gap and ensures the contract accurately reflects the services being delivered.</w:t>
      </w:r>
    </w:p>
    <w:p>
      <w:pPr>
        <w:spacing w:before="160" w:after="80"/>
      </w:pPr>
      <w:r>
        <w:rPr>
          <w:b/>
          <w:color w:val="1F4E79"/>
          <w:sz w:val="22"/>
        </w:rPr>
        <w:t>Key Assumptions</w:t>
      </w:r>
    </w:p>
    <w:p>
      <w:pPr>
        <w:pStyle w:val="ListBullet"/>
        <w:spacing w:after="40"/>
      </w:pPr>
      <w:r>
        <w:rPr>
          <w:rFonts w:ascii="Calibri" w:hAnsi="Calibri"/>
          <w:b/>
          <w:sz w:val="20"/>
        </w:rPr>
        <w:t>Labor:</w:t>
      </w:r>
      <w:r>
        <w:rPr>
          <w:rFonts w:ascii="Calibri" w:hAnsi="Calibri"/>
          <w:sz w:val="20"/>
        </w:rPr>
        <w:t xml:space="preserve"> Scenario A continues current rates (~$4,805/month). Scenario B right-sizes to ~$6,103/month based on actual utilization. IT Support increases from 12.4 to 23.0 hrs/mo; Offshore AH decreases from 45.4 to 41.0 hrs/mo.</w:t>
      </w:r>
    </w:p>
    <w:p>
      <w:pPr>
        <w:pStyle w:val="ListBullet"/>
        <w:spacing w:after="40"/>
      </w:pPr>
      <w:r>
        <w:rPr>
          <w:rFonts w:ascii="Calibri" w:hAnsi="Calibri"/>
          <w:b/>
          <w:sz w:val="20"/>
        </w:rPr>
        <w:t>Device Services:</w:t>
      </w:r>
      <w:r>
        <w:rPr>
          <w:rFonts w:ascii="Calibri" w:hAnsi="Calibri"/>
          <w:sz w:val="20"/>
        </w:rPr>
        <w:t xml:space="preserve"> Adjusted monthly on the invoice to match actual counts. The March 2026 service inventory is used as the baseline. Each new desktop adds approximately $50–55/month across the full security, monitoring, and management stack.</w:t>
      </w:r>
    </w:p>
    <w:p>
      <w:pPr>
        <w:pStyle w:val="ListBullet"/>
        <w:spacing w:after="40"/>
      </w:pPr>
      <w:r>
        <w:rPr>
          <w:rFonts w:ascii="Calibri" w:hAnsi="Calibri"/>
          <w:b/>
          <w:sz w:val="20"/>
        </w:rPr>
        <w:t>Headcount:</w:t>
      </w:r>
      <w:r>
        <w:rPr>
          <w:rFonts w:ascii="Calibri" w:hAnsi="Calibri"/>
          <w:sz w:val="20"/>
        </w:rPr>
        <w:t xml:space="preserve"> Projection assumes stable headcount at ~101 users. Each new user adds approximately $15–20/month in incremental per-user services (anti-spam, phishing training, Veeam backup).</w:t>
      </w:r>
    </w:p>
    <w:p>
      <w:pPr>
        <w:pStyle w:val="ListBullet"/>
        <w:spacing w:after="40"/>
      </w:pPr>
      <w:r>
        <w:rPr>
          <w:rFonts w:ascii="Calibri" w:hAnsi="Calibri"/>
          <w:b/>
          <w:sz w:val="20"/>
        </w:rPr>
        <w:t>Infrastructure:</w:t>
      </w:r>
      <w:r>
        <w:rPr>
          <w:rFonts w:ascii="Calibri" w:hAnsi="Calibri"/>
          <w:sz w:val="20"/>
        </w:rPr>
        <w:t xml:space="preserve"> No major infrastructure expansions assumed. Server counts remain stable at 12–13. Cloud backup storage at 12 TB.</w:t>
      </w:r>
    </w:p>
    <w:p>
      <w:pPr>
        <w:pStyle w:val="ListBullet"/>
        <w:spacing w:after="40"/>
      </w:pPr>
      <w:r>
        <w:rPr>
          <w:rFonts w:ascii="Calibri" w:hAnsi="Calibri"/>
          <w:b/>
          <w:sz w:val="20"/>
        </w:rPr>
        <w:t>Hardware:</w:t>
      </w:r>
      <w:r>
        <w:rPr>
          <w:rFonts w:ascii="Calibri" w:hAnsi="Calibri"/>
          <w:sz w:val="20"/>
        </w:rPr>
        <w:t xml:space="preserve"> $7,500 budget assumes normal replacement cycle (2–3 units). A large-scale refresh (e.g., Windows 11 migration for all 47 desktops) would significantly exceed this.</w:t>
      </w:r>
    </w:p>
    <w:p>
      <w:pPr>
        <w:pStyle w:val="ListBullet"/>
        <w:spacing w:after="40"/>
      </w:pPr>
      <w:r>
        <w:rPr>
          <w:rFonts w:ascii="Calibri" w:hAnsi="Calibri"/>
          <w:b/>
          <w:sz w:val="20"/>
        </w:rPr>
        <w:t>CTO/Projects:</w:t>
      </w:r>
      <w:r>
        <w:rPr>
          <w:rFonts w:ascii="Calibri" w:hAnsi="Calibri"/>
          <w:sz w:val="20"/>
        </w:rPr>
        <w:t xml:space="preserve"> Minimal ad-hoc project work assumed ($2,000 buffer). Significant strategic initiatives would require separate budgeting.</w:t>
      </w:r>
    </w:p>
    <w:p>
      <w:pPr>
        <w:pStyle w:val="ListBullet"/>
        <w:spacing w:after="40"/>
      </w:pPr>
      <w:r>
        <w:rPr>
          <w:rFonts w:ascii="Calibri" w:hAnsi="Calibri"/>
          <w:b/>
          <w:sz w:val="20"/>
        </w:rPr>
        <w:t>Service Counts:</w:t>
      </w:r>
      <w:r>
        <w:rPr>
          <w:rFonts w:ascii="Calibri" w:hAnsi="Calibri"/>
          <w:sz w:val="20"/>
        </w:rPr>
        <w:t xml:space="preserve"> Projections use March 2026 service counts as the baseline — CrowdStrike (47 desktops), Huntress (40), Cisco Umbrella (37), Patch Management (42). Per-device costs are projected at current coverage levels.</w:t>
      </w:r>
    </w:p>
    <w:sectPr w:rsidR="00FC693F" w:rsidRPr="0006063C" w:rsidSect="00034616">
      <w:headerReference w:type="default" r:id="rId9"/>
      <w:footerReference w:type="default" r:id="rId10"/>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Technijian Inc.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6"/>
      </w:rPr>
      <w:t>BWH (Brandywine Homes) — 2025 IT Support Review &amp; 2026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