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2E75B6"/>
          <w:sz w:val="24"/>
        </w:rPr>
        <w:t>TECHNIJIAN INC.</w:t>
      </w:r>
    </w:p>
    <w:p>
      <w:pPr>
        <w:jc w:val="center"/>
      </w:pPr>
      <w:r>
        <w:rPr>
          <w:rFonts w:ascii="Calibri" w:hAnsi="Calibri"/>
          <w:b/>
          <w:color w:val="1F4E79"/>
          <w:sz w:val="56"/>
        </w:rPr>
        <w:t>Cost Optimization Analysis</w:t>
      </w:r>
    </w:p>
    <w:p>
      <w:pPr>
        <w:jc w:val="center"/>
      </w:pPr>
      <w:r>
        <w:rPr>
          <w:rFonts w:ascii="Calibri" w:hAnsi="Calibri"/>
          <w:color w:val="2E75B6"/>
          <w:sz w:val="32"/>
        </w:rPr>
        <w:t>IT Spend Reduction Recommendations</w:t>
      </w:r>
    </w:p>
    <w:p/>
    <w:p/>
    <w:p>
      <w:pPr>
        <w:jc w:val="center"/>
      </w:pPr>
      <w:r>
        <w:rPr>
          <w:rFonts w:ascii="Calibri" w:hAnsi="Calibri"/>
          <w:color w:val="1F4E79"/>
          <w:sz w:val="28"/>
        </w:rPr>
        <w:t>Prepared for: OrthoXpress (ORX)</w:t>
      </w:r>
    </w:p>
    <w:p>
      <w:pPr>
        <w:jc w:val="center"/>
      </w:pPr>
      <w:r>
        <w:rPr>
          <w:rFonts w:ascii="Calibri" w:hAnsi="Calibri"/>
          <w:color w:val="666666"/>
          <w:sz w:val="24"/>
        </w:rPr>
        <w:t>March 5, 2026</w:t>
      </w:r>
    </w:p>
    <w:p/>
    <w:p/>
    <w:p/>
    <w:p>
      <w:pPr>
        <w:jc w:val="center"/>
      </w:pPr>
      <w:r>
        <w:rPr>
          <w:b/>
          <w:color w:val="C0392B"/>
          <w:sz w:val="20"/>
        </w:rPr>
        <w:t>CONFIDENTIAL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50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36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Current Annual Spend</w:t>
            </w:r>
          </w:p>
        </w:tc>
        <w:tc>
          <w:tcPr>
            <w:tcW w:type="dxa" w:w="50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$292,988</w:t>
            </w:r>
          </w:p>
        </w:tc>
      </w:tr>
      <w:tr>
        <w:tc>
          <w:tcPr>
            <w:tcW w:type="dxa" w:w="36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Reduction Target</w:t>
            </w:r>
          </w:p>
        </w:tc>
        <w:tc>
          <w:tcPr>
            <w:tcW w:type="dxa" w:w="50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35–50%  ($146K–$191K)</w:t>
            </w:r>
          </w:p>
        </w:tc>
      </w:tr>
      <w:tr>
        <w:tc>
          <w:tcPr>
            <w:tcW w:type="dxa" w:w="36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Compliance Framework</w:t>
            </w:r>
          </w:p>
        </w:tc>
        <w:tc>
          <w:tcPr>
            <w:tcW w:type="dxa" w:w="50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HIPAA Security Rule</w:t>
            </w:r>
          </w:p>
        </w:tc>
      </w:tr>
      <w:tr>
        <w:tc>
          <w:tcPr>
            <w:tcW w:type="dxa" w:w="36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Hosting</w:t>
            </w:r>
          </w:p>
        </w:tc>
        <w:tc>
          <w:tcPr>
            <w:tcW w:type="dxa" w:w="50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Technijian Data Center</w:t>
            </w:r>
          </w:p>
        </w:tc>
      </w:tr>
      <w:tr>
        <w:tc>
          <w:tcPr>
            <w:tcW w:type="dxa" w:w="36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Analysis Period</w:t>
            </w:r>
          </w:p>
        </w:tc>
        <w:tc>
          <w:tcPr>
            <w:tcW w:type="dxa" w:w="50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January–December 2025</w:t>
            </w:r>
          </w:p>
        </w:tc>
      </w:tr>
      <w:tr>
        <w:tc>
          <w:tcPr>
            <w:tcW w:type="dxa" w:w="36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Service Inventory</w:t>
            </w:r>
          </w:p>
        </w:tc>
        <w:tc>
          <w:tcPr>
            <w:tcW w:type="dxa" w:w="50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March 1, 2026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color w:val="1F4E79"/>
          <w:sz w:val="32"/>
        </w:rPr>
        <w:t>1. Executive Summary</w:t>
      </w:r>
    </w:p>
    <w:p>
      <w:pPr>
        <w:spacing w:after="80"/>
      </w:pPr>
      <w:r>
        <w:rPr>
          <w:rFonts w:ascii="Calibri" w:hAnsi="Calibri"/>
          <w:sz w:val="20"/>
        </w:rPr>
        <w:t>After reviewing the full 2025 annual data and applying HIPAA compliance constraints, we’ve identified $26K–$52K in actionable savings (9–18%) through advisory restructuring, development billing optimization, licensing right-sizing, and modest infrastructure consolidation.</w:t>
      </w:r>
    </w:p>
    <w:p>
      <w:pPr>
        <w:spacing w:after="80"/>
      </w:pPr>
      <w:r>
        <w:rPr>
          <w:rFonts w:ascii="Calibri" w:hAnsi="Calibri"/>
          <w:sz w:val="20"/>
        </w:rPr>
        <w:t>Key factors limiting deeper cuts: HIPAA mandates dual-layer endpoint protection, dev/prod server segmentation, email archiving retention, and layered email security. The overnight offshore model ($15/hr) is already ORX’s primary cost optimization lever — it routes non-urgent work (patching, monitoring, maintenance) to the lowest rate tier. Cutting overnight hours would increase daytime costs.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Annual Savings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New Spend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% Reduction</w:t>
            </w:r>
          </w:p>
        </w:tc>
      </w:tr>
      <w:tr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Phase 1 only (quick wins)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$10,192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$282,796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3%</w:t>
            </w:r>
          </w:p>
        </w:tc>
      </w:tr>
      <w:tr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Phase 1 + 2 (realistic target)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$26K–$52K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$241K–$267K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9–18%</w:t>
            </w:r>
          </w:p>
        </w:tc>
      </w:tr>
    </w:tbl>
    <w:p>
      <w:pPr>
        <w:pStyle w:val="Heading1"/>
        <w:spacing w:before="240" w:after="120"/>
      </w:pPr>
      <w:r>
        <w:rPr>
          <w:b/>
          <w:color w:val="1F4E79"/>
          <w:sz w:val="32"/>
        </w:rPr>
        <w:t>2. Current Spend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Annual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% of Total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IT Support Labor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$53,485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18.3%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CTO Advisory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$36,688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12.5%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Software Development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$27,659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9.4%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Cloud Hosting (Compute/Storage)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$54,962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18.8%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Security &amp; Endpoint (CrowdStrike + Huntress)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$14,080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4.8%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Backup &amp; Archiving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$13,801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4.7%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Monitoring &amp; RMM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$9,237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3.2%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M365 &amp; SPLA Licensing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$30,461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10.4%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Email Security (Anti-Spam + DMARC)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$6,377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2.2%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Network &amp; Firewall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$6,120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2.1%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VoIP / Telephony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$5,919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2.0%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DNS Filtering (Umbrella / Secure Internet)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$7,580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2.6%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Pen Testing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$1,981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0.7%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SSL/Domains/Other Licensing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$4,313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1.5%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Hardware &amp; One-Time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$24,165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8.2%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$292,988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100%</w:t>
            </w:r>
          </w:p>
        </w:tc>
      </w:tr>
    </w:tbl>
    <w:p>
      <w:pPr>
        <w:spacing w:after="80"/>
      </w:pPr>
      <w:r>
        <w:rPr>
          <w:rFonts w:ascii="Calibri" w:hAnsi="Calibri"/>
          <w:i/>
          <w:color w:val="666666"/>
          <w:sz w:val="18"/>
        </w:rPr>
        <w:t>Note: Cisco Umbrella and Secure Internet are the same DNS filtering service billed as two components (per-device agent + platform fee). Combined: $7,580/yr.</w:t>
      </w:r>
    </w:p>
    <w:p>
      <w:pPr>
        <w:pStyle w:val="Heading1"/>
        <w:spacing w:before="240" w:after="120"/>
      </w:pPr>
      <w:r>
        <w:rPr>
          <w:b/>
          <w:color w:val="1F4E79"/>
          <w:sz w:val="32"/>
        </w:rPr>
        <w:t>3. HIPAA Compliance Constraints</w:t>
      </w:r>
    </w:p>
    <w:p>
      <w:pPr>
        <w:spacing w:after="80"/>
      </w:pPr>
      <w:r>
        <w:rPr>
          <w:rFonts w:ascii="Calibri" w:hAnsi="Calibri"/>
          <w:sz w:val="20"/>
        </w:rPr>
        <w:t>The following HIPAA Security Rule requirements constrain what can be consolidated or eliminated: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HIPAA Requirement</w:t>
            </w:r>
          </w:p>
        </w:tc>
        <w:tc>
          <w:tcPr>
            <w:tcW w:type="dxa" w:w="57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Impact on Cost Optimization</w:t>
            </w:r>
          </w:p>
        </w:tc>
      </w:tr>
      <w:tr>
        <w:tc>
          <w:tcPr>
            <w:tcW w:type="dxa" w:w="36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§164.312(c) — Integrity Controls</w:t>
            </w:r>
          </w:p>
        </w:tc>
        <w:tc>
          <w:tcPr>
            <w:tcW w:type="dxa" w:w="57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Dev/prod environment segmentation must be maintained; dev SQL and app servers cannot be merged with production</w:t>
            </w:r>
          </w:p>
        </w:tc>
      </w:tr>
      <w:tr>
        <w:tc>
          <w:tcPr>
            <w:tcW w:type="dxa" w:w="36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§164.310(a)(2)(ii) — Facility Security</w:t>
            </w:r>
          </w:p>
        </w:tc>
        <w:tc>
          <w:tcPr>
            <w:tcW w:type="dxa" w:w="57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Redundant AD domain controllers required for availability of access controls</w:t>
            </w:r>
          </w:p>
        </w:tc>
      </w:tr>
      <w:tr>
        <w:tc>
          <w:tcPr>
            <w:tcW w:type="dxa" w:w="36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§164.312(a)(1) — Access Control</w:t>
            </w:r>
          </w:p>
        </w:tc>
        <w:tc>
          <w:tcPr>
            <w:tcW w:type="dxa" w:w="57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RDP CALs must cover all users accessing ePHI systems</w:t>
            </w:r>
          </w:p>
        </w:tc>
      </w:tr>
      <w:tr>
        <w:tc>
          <w:tcPr>
            <w:tcW w:type="dxa" w:w="36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§164.312(e)(1) — Transmission Security</w:t>
            </w:r>
          </w:p>
        </w:tc>
        <w:tc>
          <w:tcPr>
            <w:tcW w:type="dxa" w:w="57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Layered email security (anti-spam) must remain on all mailboxes handling PHI</w:t>
            </w:r>
          </w:p>
        </w:tc>
      </w:tr>
      <w:tr>
        <w:tc>
          <w:tcPr>
            <w:tcW w:type="dxa" w:w="36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§164.312(c)(1) — Audit Controls</w:t>
            </w:r>
          </w:p>
        </w:tc>
        <w:tc>
          <w:tcPr>
            <w:tcW w:type="dxa" w:w="57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Email archiving: minimum 6-year retention; aggressive reduction not advisable</w:t>
            </w:r>
          </w:p>
        </w:tc>
      </w:tr>
      <w:tr>
        <w:tc>
          <w:tcPr>
            <w:tcW w:type="dxa" w:w="36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§164.308(a)(1)(ii)(A) — Risk Analysis</w:t>
            </w:r>
          </w:p>
        </w:tc>
        <w:tc>
          <w:tcPr>
            <w:tcW w:type="dxa" w:w="57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Dual EDR (CrowdStrike + Huntress) provides defense-in-depth; removing a layer increases residual risk</w:t>
            </w:r>
          </w:p>
        </w:tc>
      </w:tr>
      <w:tr>
        <w:tc>
          <w:tcPr>
            <w:tcW w:type="dxa" w:w="36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§164.308(a)(6) — Contingency Plan</w:t>
            </w:r>
          </w:p>
        </w:tc>
        <w:tc>
          <w:tcPr>
            <w:tcW w:type="dxa" w:w="57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Backup coverage must include all systems processing/storing ePHI</w:t>
            </w:r>
          </w:p>
        </w:tc>
      </w:tr>
      <w:tr>
        <w:tc>
          <w:tcPr>
            <w:tcW w:type="dxa" w:w="36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§164.312(d) — Authentication</w:t>
            </w:r>
          </w:p>
        </w:tc>
        <w:tc>
          <w:tcPr>
            <w:tcW w:type="dxa" w:w="57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Pen testing validates access controls — must be maintained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color w:val="1F4E79"/>
          <w:sz w:val="32"/>
        </w:rPr>
        <w:t>4. Area 1: Infrastructure Consolidation</w:t>
      </w:r>
    </w:p>
    <w:p>
      <w:pPr>
        <w:spacing w:after="80"/>
      </w:pPr>
      <w:r>
        <w:rPr>
          <w:rFonts w:ascii="Calibri" w:hAnsi="Calibri"/>
          <w:b/>
          <w:sz w:val="20"/>
        </w:rPr>
        <w:t xml:space="preserve">Current State (March 2026): </w:t>
      </w:r>
      <w:r>
        <w:rPr>
          <w:rFonts w:ascii="Calibri" w:hAnsi="Calibri"/>
          <w:sz w:val="20"/>
        </w:rPr>
        <w:t>25 servers (down from 27 in Dec — VLAN14 and OPSPRB decommissioned), hosted in Technijian DC.</w:t>
      </w:r>
    </w:p>
    <w:p>
      <w:pPr>
        <w:spacing w:after="80"/>
      </w:pPr>
      <w:r>
        <w:rPr>
          <w:rFonts w:ascii="Calibri" w:hAnsi="Calibri"/>
          <w:b/>
          <w:sz w:val="20"/>
        </w:rPr>
        <w:t xml:space="preserve">Current Cost: </w:t>
      </w:r>
      <w:r>
        <w:rPr>
          <w:rFonts w:ascii="Calibri" w:hAnsi="Calibri"/>
          <w:sz w:val="20"/>
        </w:rPr>
        <w:t>$54,962/yr ($4,580/mo)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4.1 Compute &amp; Storage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Resource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Qty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Rate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Monthly</w:t>
            </w:r>
          </w:p>
        </w:tc>
      </w:tr>
      <w:tr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Production Storage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 TB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$200/TB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$1,400</w:t>
            </w:r>
          </w:p>
        </w:tc>
      </w:tr>
      <w:tr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Cloud VM vCores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176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$6.25/core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$1,100</w:t>
            </w:r>
          </w:p>
        </w:tc>
      </w:tr>
      <w:tr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Backup Storage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18 TB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$50/TB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$900</w:t>
            </w:r>
          </w:p>
        </w:tc>
      </w:tr>
      <w:tr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Replicated Storage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 TB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$100/TB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$700</w:t>
            </w:r>
          </w:p>
        </w:tc>
      </w:tr>
      <w:tr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Cloud VM Memory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360 GB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$0.63/GB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$227</w:t>
            </w:r>
          </w:p>
        </w:tc>
      </w:tr>
      <w:tr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Shared Bandwidth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$15.00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$15</w:t>
            </w:r>
          </w:p>
        </w:tc>
      </w:tr>
      <w:tr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$4,342</w:t>
            </w:r>
          </w:p>
        </w:tc>
      </w:tr>
    </w:tbl>
    <w:p>
      <w:pPr>
        <w:pStyle w:val="Heading2"/>
        <w:spacing w:before="200" w:after="80"/>
      </w:pPr>
      <w:r>
        <w:rPr>
          <w:b/>
          <w:color w:val="1F4E79"/>
          <w:sz w:val="26"/>
        </w:rPr>
        <w:t>4.2 HIPAA Segmentation — Required Servers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Server Group</w:t>
            </w:r>
          </w:p>
        </w:tc>
        <w:tc>
          <w:tcPr>
            <w:tcW w:type="dxa" w:w="259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Servers</w:t>
            </w:r>
          </w:p>
        </w:tc>
        <w:tc>
          <w:tcPr>
            <w:tcW w:type="dxa" w:w="446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230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Production SQL</w:t>
            </w:r>
          </w:p>
        </w:tc>
        <w:tc>
          <w:tcPr>
            <w:tcW w:type="dxa" w:w="259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SQL-01, SQL-02</w:t>
            </w:r>
          </w:p>
        </w:tc>
        <w:tc>
          <w:tcPr>
            <w:tcW w:type="dxa" w:w="446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Production ePHI database workloads</w:t>
            </w:r>
          </w:p>
        </w:tc>
      </w:tr>
      <w:tr>
        <w:tc>
          <w:tcPr>
            <w:tcW w:type="dxa" w:w="230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Dev/Test SQL</w:t>
            </w:r>
          </w:p>
        </w:tc>
        <w:tc>
          <w:tcPr>
            <w:tcW w:type="dxa" w:w="259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SQL-03</w:t>
            </w:r>
          </w:p>
        </w:tc>
        <w:tc>
          <w:tcPr>
            <w:tcW w:type="dxa" w:w="446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HIPAA-required dev/prod segmentation</w:t>
            </w:r>
          </w:p>
        </w:tc>
      </w:tr>
      <w:tr>
        <w:tc>
          <w:tcPr>
            <w:tcW w:type="dxa" w:w="230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Production App</w:t>
            </w:r>
          </w:p>
        </w:tc>
        <w:tc>
          <w:tcPr>
            <w:tcW w:type="dxa" w:w="259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APP-01 or APP-04</w:t>
            </w:r>
          </w:p>
        </w:tc>
        <w:tc>
          <w:tcPr>
            <w:tcW w:type="dxa" w:w="446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Production application serving</w:t>
            </w:r>
          </w:p>
        </w:tc>
      </w:tr>
      <w:tr>
        <w:tc>
          <w:tcPr>
            <w:tcW w:type="dxa" w:w="230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Dev/Test App</w:t>
            </w:r>
          </w:p>
        </w:tc>
        <w:tc>
          <w:tcPr>
            <w:tcW w:type="dxa" w:w="259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APP-01 or APP-04</w:t>
            </w:r>
          </w:p>
        </w:tc>
        <w:tc>
          <w:tcPr>
            <w:tcW w:type="dxa" w:w="446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Separate dev environment for compliance</w:t>
            </w:r>
          </w:p>
        </w:tc>
      </w:tr>
      <w:tr>
        <w:tc>
          <w:tcPr>
            <w:tcW w:type="dxa" w:w="230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Domain Controllers</w:t>
            </w:r>
          </w:p>
        </w:tc>
        <w:tc>
          <w:tcPr>
            <w:tcW w:type="dxa" w:w="259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AD-03, AD-04</w:t>
            </w:r>
          </w:p>
        </w:tc>
        <w:tc>
          <w:tcPr>
            <w:tcW w:type="dxa" w:w="446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HIPAA availability — redundant access controls</w:t>
            </w:r>
          </w:p>
        </w:tc>
      </w:tr>
      <w:tr>
        <w:tc>
          <w:tcPr>
            <w:tcW w:type="dxa" w:w="230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Production IIS</w:t>
            </w:r>
          </w:p>
        </w:tc>
        <w:tc>
          <w:tcPr>
            <w:tcW w:type="dxa" w:w="259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IIS1, IIS2</w:t>
            </w:r>
          </w:p>
        </w:tc>
        <w:tc>
          <w:tcPr>
            <w:tcW w:type="dxa" w:w="446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Web-facing production (HA pair)</w:t>
            </w:r>
          </w:p>
        </w:tc>
      </w:tr>
      <w:tr>
        <w:tc>
          <w:tcPr>
            <w:tcW w:type="dxa" w:w="230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File Servers</w:t>
            </w:r>
          </w:p>
        </w:tc>
        <w:tc>
          <w:tcPr>
            <w:tcW w:type="dxa" w:w="259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FS-01, FS-02</w:t>
            </w:r>
          </w:p>
        </w:tc>
        <w:tc>
          <w:tcPr>
            <w:tcW w:type="dxa" w:w="446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ePHI document storage + redundancy</w:t>
            </w:r>
          </w:p>
        </w:tc>
      </w:tr>
      <w:tr>
        <w:tc>
          <w:tcPr>
            <w:tcW w:type="dxa" w:w="230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Terminal Servers</w:t>
            </w:r>
          </w:p>
        </w:tc>
        <w:tc>
          <w:tcPr>
            <w:tcW w:type="dxa" w:w="259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TS-03, TS-04</w:t>
            </w:r>
          </w:p>
        </w:tc>
        <w:tc>
          <w:tcPr>
            <w:tcW w:type="dxa" w:w="446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User access to applications</w:t>
            </w:r>
          </w:p>
        </w:tc>
      </w:tr>
      <w:tr>
        <w:tc>
          <w:tcPr>
            <w:tcW w:type="dxa" w:w="230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3CX / VoIP</w:t>
            </w:r>
          </w:p>
        </w:tc>
        <w:tc>
          <w:tcPr>
            <w:tcW w:type="dxa" w:w="259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3CX-01</w:t>
            </w:r>
          </w:p>
        </w:tc>
        <w:tc>
          <w:tcPr>
            <w:tcW w:type="dxa" w:w="446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Phone system</w:t>
            </w:r>
          </w:p>
        </w:tc>
      </w:tr>
      <w:tr>
        <w:tc>
          <w:tcPr>
            <w:tcW w:type="dxa" w:w="230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Production CRM</w:t>
            </w:r>
          </w:p>
        </w:tc>
        <w:tc>
          <w:tcPr>
            <w:tcW w:type="dxa" w:w="259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OXPLIVE</w:t>
            </w:r>
          </w:p>
        </w:tc>
        <w:tc>
          <w:tcPr>
            <w:tcW w:type="dxa" w:w="446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OXPLive production</w:t>
            </w:r>
          </w:p>
        </w:tc>
      </w:tr>
      <w:tr>
        <w:tc>
          <w:tcPr>
            <w:tcW w:type="dxa" w:w="230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Test CRM</w:t>
            </w:r>
          </w:p>
        </w:tc>
        <w:tc>
          <w:tcPr>
            <w:tcW w:type="dxa" w:w="259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OXPTEST</w:t>
            </w:r>
          </w:p>
        </w:tc>
        <w:tc>
          <w:tcPr>
            <w:tcW w:type="dxa" w:w="446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Dev/test environment</w:t>
            </w:r>
          </w:p>
        </w:tc>
      </w:tr>
    </w:tbl>
    <w:p>
      <w:pPr>
        <w:pStyle w:val="Heading2"/>
        <w:spacing w:before="200" w:after="80"/>
      </w:pPr>
      <w:r>
        <w:rPr>
          <w:b/>
          <w:color w:val="1F4E79"/>
          <w:sz w:val="26"/>
        </w:rPr>
        <w:t>4.3 Consolidation Opportunities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VDI Consolidation (6 → 3):</w:t>
      </w:r>
      <w:r>
        <w:rPr>
          <w:rFonts w:ascii="Calibri" w:hAnsi="Calibri"/>
          <w:sz w:val="20"/>
        </w:rPr>
        <w:t xml:space="preserve"> Only 2–4 active VDI licenses. Consolidate to 2 active hosts + 1 golden image. Savings: ~$150/mo ($1,800/yr).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JRMEDSVR01 Review:</w:t>
      </w:r>
      <w:r>
        <w:rPr>
          <w:rFonts w:ascii="Calibri" w:hAnsi="Calibri"/>
          <w:sz w:val="20"/>
        </w:rPr>
        <w:t xml:space="preserve"> Verify workload. If legacy or idle, decommission. Potential savings: $100–$150/mo ($1,200–$1,800/yr).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Storage Tier Optimization:</w:t>
      </w:r>
      <w:r>
        <w:rPr>
          <w:rFonts w:ascii="Calibri" w:hAnsi="Calibri"/>
          <w:sz w:val="20"/>
        </w:rPr>
        <w:t xml:space="preserve"> Move older backups to cold tier (HIPAA requires retention, not instant access). Verify 7 TB replicated needs real-time vs. daily sync. Potential savings: $200–$400/mo ($2,400–$4,800/yr).</w:t>
      </w:r>
    </w:p>
    <w:p>
      <w:pPr>
        <w:spacing w:before="160" w:after="80"/>
      </w:pPr>
      <w:r>
        <w:rPr>
          <w:b/>
          <w:color w:val="1F4E79"/>
          <w:sz w:val="22"/>
        </w:rPr>
        <w:t>Infrastructure Savings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Timeline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Annual Savings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VDI consolidation (6 → 3)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1–3 months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$1,800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JRMEDSVR01 review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 month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$0–$1,800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Storage tier optimization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1–3 months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$2,400–$4,800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 Infrastructure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$4,200–$8,400</w:t>
            </w:r>
          </w:p>
        </w:tc>
      </w:tr>
    </w:tbl>
    <w:p>
      <w:pPr>
        <w:spacing w:after="80"/>
      </w:pPr>
      <w:r>
        <w:rPr>
          <w:rFonts w:ascii="Calibri" w:hAnsi="Calibri"/>
          <w:i/>
          <w:color w:val="666666"/>
          <w:sz w:val="18"/>
        </w:rPr>
        <w:t>2 servers (VLAN14, OPSPRB) already decommissioned between Dec 2025 and Mar 2026. March baseline is 25 servers.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1F4E79"/>
          <w:sz w:val="32"/>
        </w:rPr>
        <w:t>5. Area 2: Security Stack</w:t>
      </w:r>
    </w:p>
    <w:p>
      <w:pPr>
        <w:spacing w:after="80"/>
      </w:pPr>
      <w:r>
        <w:rPr>
          <w:rFonts w:ascii="Calibri" w:hAnsi="Calibri"/>
          <w:b/>
          <w:sz w:val="20"/>
        </w:rPr>
        <w:t xml:space="preserve">Current State: </w:t>
      </w:r>
      <w:r>
        <w:rPr>
          <w:rFonts w:ascii="Calibri" w:hAnsi="Calibri"/>
          <w:sz w:val="20"/>
        </w:rPr>
        <w:t>Dual EDR + DNS filtering + pen testing</w:t>
      </w:r>
    </w:p>
    <w:p>
      <w:pPr>
        <w:spacing w:after="80"/>
      </w:pPr>
      <w:r>
        <w:rPr>
          <w:rFonts w:ascii="Calibri" w:hAnsi="Calibri"/>
          <w:b/>
          <w:sz w:val="20"/>
        </w:rPr>
        <w:t xml:space="preserve">Current Cost: </w:t>
      </w:r>
      <w:r>
        <w:rPr>
          <w:rFonts w:ascii="Calibri" w:hAnsi="Calibri"/>
          <w:sz w:val="20"/>
        </w:rPr>
        <w:t>$14,080 (endpoint) + $7,580 (DNS filtering) + $1,981 (pen testing) = $23,641/yr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5.1 Current Security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Tool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Endpoints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Monthly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Annual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Function</w:t>
            </w:r>
          </w:p>
        </w:tc>
      </w:tr>
      <w:tr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CrowdStrike (Desktop + Server)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84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$760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$9,120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Automated EDR, threat detection, AV</w:t>
            </w:r>
          </w:p>
        </w:tc>
      </w:tr>
      <w:tr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Huntress (Desktop + Server)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83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$415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$4,980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Human-managed threat hunting, EDR</w:t>
            </w:r>
          </w:p>
        </w:tc>
      </w:tr>
      <w:tr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Cisco Umbrella / Secure Internet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80 + platform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$632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$7,580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DNS security, web filtering</w:t>
            </w:r>
          </w:p>
        </w:tc>
      </w:tr>
      <w:tr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Pen Testing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18 IPs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$63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$756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Continuous pen testing</w:t>
            </w:r>
          </w:p>
        </w:tc>
      </w:tr>
      <w:tr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$1,870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$22,436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</w:tbl>
    <w:p>
      <w:pPr>
        <w:spacing w:after="80"/>
      </w:pPr>
      <w:r>
        <w:rPr>
          <w:rFonts w:ascii="Calibri" w:hAnsi="Calibri"/>
          <w:i/>
          <w:color w:val="666666"/>
          <w:sz w:val="18"/>
        </w:rPr>
        <w:t>Cisco Umbrella and Secure Internet are the same service — per-device agent ($316/mo) + platform subscription ($312/mo). Previously counted as two separate services.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5.2 HIPAA-Compliant Recommendations</w:t>
      </w:r>
    </w:p>
    <w:p>
      <w:pPr>
        <w:spacing w:after="80"/>
      </w:pPr>
      <w:r>
        <w:rPr>
          <w:rFonts w:ascii="Calibri" w:hAnsi="Calibri"/>
          <w:b/>
          <w:sz w:val="20"/>
        </w:rPr>
        <w:t>CrowdStrike + Huntress: KEEP BOTH.</w:t>
      </w:r>
      <w:r>
        <w:rPr>
          <w:rFonts w:ascii="Calibri" w:hAnsi="Calibri"/>
          <w:sz w:val="20"/>
        </w:rPr>
        <w:t xml:space="preserve"> Defense-in-depth is a HIPAA best practice and compliance necessity. CrowdStrike provides automated EDR and threat intelligence; Huntress adds human-managed threat hunting that catches what automation misses. For a healthcare org handling ePHI, dual-layer endpoint protection is non-negotiable. A single healthcare breach averages $10.9M (IBM 2025). The $14,100/yr is compliance insurance.</w:t>
      </w:r>
    </w:p>
    <w:p>
      <w:pPr>
        <w:spacing w:after="80"/>
      </w:pPr>
      <w:r>
        <w:rPr>
          <w:rFonts w:ascii="Calibri" w:hAnsi="Calibri"/>
          <w:b/>
          <w:sz w:val="20"/>
        </w:rPr>
        <w:t>Cisco Umbrella / Secure Internet → CloudBrink Migration:</w:t>
      </w:r>
      <w:r>
        <w:rPr>
          <w:rFonts w:ascii="Calibri" w:hAnsi="Calibri"/>
          <w:sz w:val="20"/>
        </w:rPr>
        <w:t xml:space="preserve"> The current Umbrella/SI service ($7,580/yr) is being migrated to CloudBrink. This is a compliance upgrade, not a cost play — CloudBrink enables taking OXPLive (ORX’s CRM) off direct internet access for HIPAA compliance. Cost should be comparable.</w:t>
      </w:r>
    </w:p>
    <w:p>
      <w:pPr>
        <w:spacing w:after="80"/>
      </w:pPr>
      <w:r>
        <w:rPr>
          <w:rFonts w:ascii="Calibri" w:hAnsi="Calibri"/>
          <w:b/>
          <w:sz w:val="20"/>
        </w:rPr>
        <w:t>Pen Testing ($756/yr): KEEP.</w:t>
      </w:r>
      <w:r>
        <w:rPr>
          <w:rFonts w:ascii="Calibri" w:hAnsi="Calibri"/>
          <w:sz w:val="20"/>
        </w:rPr>
        <w:t xml:space="preserve"> Required for HIPAA risk analysis (§164.308(a)(1)(ii)(A)).</w:t>
      </w:r>
    </w:p>
    <w:p>
      <w:pPr>
        <w:spacing w:before="160" w:after="80"/>
      </w:pPr>
      <w:r>
        <w:rPr>
          <w:b/>
          <w:color w:val="1F4E79"/>
          <w:sz w:val="22"/>
        </w:rPr>
        <w:t>Security Savings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Annual Savings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CloudBrink migration (Umbrella/SI replacement)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Cost-neutral (compliance upgrade)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 Security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$0</w:t>
            </w:r>
          </w:p>
        </w:tc>
      </w:tr>
    </w:tbl>
    <w:p>
      <w:pPr>
        <w:spacing w:after="80"/>
      </w:pPr>
      <w:r>
        <w:rPr>
          <w:rFonts w:ascii="Calibri" w:hAnsi="Calibri"/>
          <w:i/>
          <w:color w:val="666666"/>
          <w:sz w:val="18"/>
        </w:rPr>
        <w:t>Security is not the right place to find cost savings under HIPAA. The current $23.6K/yr protects against breach costs that would dwarf the annual IT spend.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1F4E79"/>
          <w:sz w:val="32"/>
        </w:rPr>
        <w:t>6. Area 3: Dev &amp; Advisory Restructuring</w:t>
      </w:r>
    </w:p>
    <w:p>
      <w:pPr>
        <w:spacing w:after="80"/>
      </w:pPr>
      <w:r>
        <w:rPr>
          <w:rFonts w:ascii="Calibri" w:hAnsi="Calibri"/>
          <w:b/>
          <w:sz w:val="20"/>
        </w:rPr>
        <w:t xml:space="preserve">Current State: </w:t>
      </w:r>
      <w:r>
        <w:rPr>
          <w:rFonts w:ascii="Calibri" w:hAnsi="Calibri"/>
          <w:sz w:val="20"/>
        </w:rPr>
        <w:t>CTO and Dev work mixed into the support contract</w:t>
      </w:r>
    </w:p>
    <w:p>
      <w:pPr>
        <w:spacing w:after="80"/>
      </w:pPr>
      <w:r>
        <w:rPr>
          <w:rFonts w:ascii="Calibri" w:hAnsi="Calibri"/>
          <w:b/>
          <w:sz w:val="20"/>
        </w:rPr>
        <w:t xml:space="preserve">Current Cost: </w:t>
      </w:r>
      <w:r>
        <w:rPr>
          <w:rFonts w:ascii="Calibri" w:hAnsi="Calibri"/>
          <w:sz w:val="20"/>
        </w:rPr>
        <w:t>$64,347/yr (22% of total spend)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6.1 2025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15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Contracted</w:t>
            </w:r>
          </w:p>
        </w:tc>
        <w:tc>
          <w:tcPr>
            <w:tcW w:type="dxa" w:w="15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Overage</w:t>
            </w:r>
          </w:p>
        </w:tc>
        <w:tc>
          <w:tcPr>
            <w:tcW w:type="dxa" w:w="15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15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Hours</w:t>
            </w:r>
          </w:p>
        </w:tc>
        <w:tc>
          <w:tcPr>
            <w:tcW w:type="dxa" w:w="15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Eff. Rate</w:t>
            </w:r>
          </w:p>
        </w:tc>
      </w:tr>
      <w:tr>
        <w:tc>
          <w:tcPr>
            <w:tcW w:type="dxa" w:w="15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CTO Advisory</w:t>
            </w:r>
          </w:p>
        </w:tc>
        <w:tc>
          <w:tcPr>
            <w:tcW w:type="dxa" w:w="15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$30,375</w:t>
            </w:r>
          </w:p>
        </w:tc>
        <w:tc>
          <w:tcPr>
            <w:tcW w:type="dxa" w:w="15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$6,313</w:t>
            </w:r>
          </w:p>
        </w:tc>
        <w:tc>
          <w:tcPr>
            <w:tcW w:type="dxa" w:w="15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$36,688</w:t>
            </w:r>
          </w:p>
        </w:tc>
        <w:tc>
          <w:tcPr>
            <w:tcW w:type="dxa" w:w="15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160</w:t>
            </w:r>
          </w:p>
        </w:tc>
        <w:tc>
          <w:tcPr>
            <w:tcW w:type="dxa" w:w="15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$229/hr</w:t>
            </w:r>
          </w:p>
        </w:tc>
      </w:tr>
      <w:tr>
        <w:tc>
          <w:tcPr>
            <w:tcW w:type="dxa" w:w="15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Software Dev</w:t>
            </w:r>
          </w:p>
        </w:tc>
        <w:tc>
          <w:tcPr>
            <w:tcW w:type="dxa" w:w="15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$14,850</w:t>
            </w:r>
          </w:p>
        </w:tc>
        <w:tc>
          <w:tcPr>
            <w:tcW w:type="dxa" w:w="15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$12,809</w:t>
            </w:r>
          </w:p>
        </w:tc>
        <w:tc>
          <w:tcPr>
            <w:tcW w:type="dxa" w:w="15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$27,659</w:t>
            </w:r>
          </w:p>
        </w:tc>
        <w:tc>
          <w:tcPr>
            <w:tcW w:type="dxa" w:w="15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285</w:t>
            </w:r>
          </w:p>
        </w:tc>
        <w:tc>
          <w:tcPr>
            <w:tcW w:type="dxa" w:w="15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$97/hr</w:t>
            </w:r>
          </w:p>
        </w:tc>
      </w:tr>
      <w:tr>
        <w:tc>
          <w:tcPr>
            <w:tcW w:type="dxa" w:w="15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15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$45,225</w:t>
            </w:r>
          </w:p>
        </w:tc>
        <w:tc>
          <w:tcPr>
            <w:tcW w:type="dxa" w:w="15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$19,122</w:t>
            </w:r>
          </w:p>
        </w:tc>
        <w:tc>
          <w:tcPr>
            <w:tcW w:type="dxa" w:w="15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$64,347</w:t>
            </w:r>
          </w:p>
        </w:tc>
        <w:tc>
          <w:tcPr>
            <w:tcW w:type="dxa" w:w="15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445</w:t>
            </w:r>
          </w:p>
        </w:tc>
        <w:tc>
          <w:tcPr>
            <w:tcW w:type="dxa" w:w="15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$145/hr</w:t>
            </w:r>
          </w:p>
        </w:tc>
      </w:tr>
    </w:tbl>
    <w:p>
      <w:pPr>
        <w:pStyle w:val="Heading2"/>
        <w:spacing w:before="200" w:after="80"/>
      </w:pPr>
      <w:r>
        <w:rPr>
          <w:b/>
          <w:color w:val="1F4E79"/>
          <w:sz w:val="26"/>
        </w:rPr>
        <w:t>6.2 CTO Retainer Restructuring: 15 hrs/mo → 8 hrs/mo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Current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Proposed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Monthly Hours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Hourly Rate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$225/hr (volume)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$250/hr (standard)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Monthly Cost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$3,375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$2,000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Overage Rate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$250/hr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$250/hr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Annual Contracted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$40,500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$24,000</w:t>
            </w:r>
          </w:p>
        </w:tc>
      </w:tr>
    </w:tbl>
    <w:p>
      <w:pPr>
        <w:spacing w:after="80"/>
      </w:pPr>
      <w:r>
        <w:rPr>
          <w:rFonts w:ascii="Calibri" w:hAnsi="Calibri"/>
          <w:b/>
          <w:sz w:val="20"/>
        </w:rPr>
        <w:t xml:space="preserve">Important: </w:t>
      </w:r>
      <w:r>
        <w:rPr>
          <w:rFonts w:ascii="Calibri" w:hAnsi="Calibri"/>
          <w:sz w:val="20"/>
        </w:rPr>
        <w:t>Reducing from 15 to 8 hours eliminates the volume discount — the rate goes from $225/hr back to the standard $250/hr. Savings come from fewer contracted hours, not from rate reduction.</w:t>
      </w:r>
    </w:p>
    <w:p>
      <w:pPr>
        <w:spacing w:after="80"/>
      </w:pPr>
      <w:r>
        <w:rPr>
          <w:rFonts w:ascii="Calibri" w:hAnsi="Calibri"/>
          <w:sz w:val="20"/>
        </w:rPr>
        <w:t>Post-Q1 2025, actual CTO usage averaged ~10 hrs/mo. At 8 contracted + ~2 overage/mo: projected annual $30,000 vs. current $36,688.</w:t>
      </w:r>
    </w:p>
    <w:p>
      <w:pPr>
        <w:spacing w:after="80"/>
      </w:pPr>
      <w:r>
        <w:rPr>
          <w:rFonts w:ascii="Calibri" w:hAnsi="Calibri"/>
          <w:b/>
          <w:sz w:val="20"/>
        </w:rPr>
        <w:t xml:space="preserve">Realistic savings range: </w:t>
      </w:r>
      <w:r>
        <w:rPr>
          <w:rFonts w:ascii="Calibri" w:hAnsi="Calibri"/>
          <w:sz w:val="20"/>
        </w:rPr>
        <w:t>$6,700–$16,500/yr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6.3 Development Billing Restructuring</w:t>
      </w:r>
    </w:p>
    <w:p>
      <w:pPr>
        <w:spacing w:after="80"/>
      </w:pPr>
      <w:r>
        <w:rPr>
          <w:rFonts w:ascii="Calibri" w:hAnsi="Calibri"/>
          <w:sz w:val="20"/>
        </w:rPr>
        <w:t>Currently, 374 hours of dev work is buried in support tickets — making IT support costs impossible to evaluate independently. The restructuring separates dev into two tracks:</w:t>
      </w:r>
    </w:p>
    <w:p>
      <w:pPr>
        <w:spacing w:before="160" w:after="80"/>
      </w:pPr>
      <w:r>
        <w:rPr>
          <w:b/>
          <w:color w:val="1F4E79"/>
          <w:sz w:val="22"/>
        </w:rPr>
        <w:t>Track 1: Booked Development (Offshore, Tiered Volume Pricing)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Monthly Hours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Rate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Monthly Cost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Up to 40 hrs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$45/hr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Up to $1,800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40–80 hrs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$40/hr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$1,600–$3,200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D5F5E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80–120 hrs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D5F5E3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$35/hr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D5F5E3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$2,800–$4,200</w:t>
            </w:r>
          </w:p>
        </w:tc>
      </w:tr>
    </w:tbl>
    <w:p>
      <w:pPr>
        <w:pStyle w:val="ListBullet"/>
        <w:spacing w:after="40"/>
      </w:pPr>
      <w:r>
        <w:rPr>
          <w:rFonts w:ascii="Calibri" w:hAnsi="Calibri"/>
          <w:b/>
          <w:sz w:val="20"/>
        </w:rPr>
        <w:t>Rate tier is</w:t>
      </w:r>
      <w:r>
        <w:rPr>
          <w:rFonts w:ascii="Calibri" w:hAnsi="Calibri"/>
          <w:sz w:val="20"/>
        </w:rPr>
        <w:t xml:space="preserve"> set based on the average actual hours from the previous 6-month billing cycle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As development scales, the per-hour rate decreases</w:t>
      </w:r>
      <w:r>
        <w:rPr>
          <w:rFonts w:ascii="Calibri" w:hAnsi="Calibri"/>
          <w:sz w:val="20"/>
        </w:rPr>
        <w:t xml:space="preserve"> — incentivizing committed volume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2025 offshore dev averaged ~23.75 hrs/mo</w:t>
      </w:r>
      <w:r>
        <w:rPr>
          <w:rFonts w:ascii="Calibri" w:hAnsi="Calibri"/>
          <w:sz w:val="20"/>
        </w:rPr>
        <w:t xml:space="preserve"> → starts at $45/hr tier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If volume increases to 40+ hrs/mo</w:t>
      </w:r>
      <w:r>
        <w:rPr>
          <w:rFonts w:ascii="Calibri" w:hAnsi="Calibri"/>
          <w:sz w:val="20"/>
        </w:rPr>
        <w:t xml:space="preserve"> in the next cycle, rate drops to $40/hr</w:t>
      </w:r>
    </w:p>
    <w:p>
      <w:pPr>
        <w:spacing w:before="160" w:after="80"/>
      </w:pPr>
      <w:r>
        <w:rPr>
          <w:b/>
          <w:color w:val="1F4E79"/>
          <w:sz w:val="22"/>
        </w:rPr>
        <w:t>Track 2: Proposal-Based Development (Fixed Price)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Fixed-price engagements scoped per project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Billed at $150/hr effective rate</w:t>
      </w:r>
      <w:r>
        <w:rPr>
          <w:rFonts w:ascii="Calibri" w:hAnsi="Calibri"/>
          <w:sz w:val="20"/>
        </w:rPr>
        <w:t xml:space="preserve"> to cover unforeseen hours and project risk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Appropriate for defined deliverables with clear acceptance criteria</w:t>
      </w:r>
    </w:p>
    <w:p>
      <w:pPr>
        <w:spacing w:before="160" w:after="80"/>
      </w:pPr>
      <w:r>
        <w:rPr>
          <w:b/>
          <w:color w:val="1F4E79"/>
          <w:sz w:val="22"/>
        </w:rPr>
        <w:t>Development Project Management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Each project gets a project ticket with child tickets</w:t>
      </w:r>
      <w:r>
        <w:rPr>
          <w:rFonts w:ascii="Calibri" w:hAnsi="Calibri"/>
          <w:sz w:val="20"/>
        </w:rPr>
        <w:t xml:space="preserve"> for each phase (GSD format)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End-of-week (EOW) status emails</w:t>
      </w:r>
      <w:r>
        <w:rPr>
          <w:rFonts w:ascii="Calibri" w:hAnsi="Calibri"/>
          <w:sz w:val="20"/>
        </w:rPr>
        <w:t xml:space="preserve"> with week-to-date (WTD) and month-to-date (MTD) hours worked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Full visibility into dev spend separate from IT support</w:t>
      </w:r>
    </w:p>
    <w:p>
      <w:pPr>
        <w:spacing w:before="160" w:after="80"/>
      </w:pPr>
      <w:r>
        <w:rPr>
          <w:b/>
          <w:color w:val="1F4E79"/>
          <w:sz w:val="22"/>
        </w:rPr>
        <w:t>Development Cost Projection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Monthly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Annual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vs. 2025 ($27,659)</w:t>
            </w:r>
          </w:p>
        </w:tc>
      </w:tr>
      <w:tr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D5F5E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Current volume (24 hrs/mo @ $45)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D5F5E3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$1,080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D5F5E3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$12,960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D5F5E3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−$14,699 (−53%)</w:t>
            </w:r>
          </w:p>
        </w:tc>
      </w:tr>
      <w:tr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Growth (50 hrs/mo @ $40 blended)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$2,000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$24,000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−$3,659 (−13%)</w:t>
            </w:r>
          </w:p>
        </w:tc>
      </w:tr>
      <w:tr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High volume (90 hrs/mo @ $35 blended)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$3,150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$37,800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+$10,141 (+37%)</w:t>
            </w:r>
          </w:p>
        </w:tc>
      </w:tr>
    </w:tbl>
    <w:p>
      <w:pPr>
        <w:spacing w:after="80"/>
      </w:pPr>
      <w:r>
        <w:rPr>
          <w:rFonts w:ascii="Calibri" w:hAnsi="Calibri"/>
          <w:i/>
          <w:color w:val="666666"/>
          <w:sz w:val="18"/>
        </w:rPr>
        <w:t>2025 dev included $12,809 in overage. The tiered model eliminates surprise overage by setting rates based on actual usage patterns from the prior cycle.</w:t>
      </w:r>
    </w:p>
    <w:p>
      <w:pPr>
        <w:spacing w:before="160" w:after="80"/>
      </w:pPr>
      <w:r>
        <w:rPr>
          <w:b/>
          <w:color w:val="1F4E79"/>
          <w:sz w:val="22"/>
        </w:rPr>
        <w:t>Dev/Advisory Savings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Annual Savings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CTO retainer reduction (15 → 8 hrs, rate to $250)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$6,700–$16,500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Dev restructuring (tiered + visibility)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$3,600–$14,700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 Dev/Advisory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$10,300–$31,200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color w:val="1F4E79"/>
          <w:sz w:val="32"/>
        </w:rPr>
        <w:t>7. Area 4: Licensing &amp; Backup Optimization</w:t>
      </w:r>
    </w:p>
    <w:p>
      <w:pPr>
        <w:spacing w:after="80"/>
      </w:pPr>
      <w:r>
        <w:rPr>
          <w:rFonts w:ascii="Calibri" w:hAnsi="Calibri"/>
          <w:b/>
          <w:sz w:val="20"/>
        </w:rPr>
        <w:t xml:space="preserve">Current State: </w:t>
      </w:r>
      <w:r>
        <w:rPr>
          <w:rFonts w:ascii="Calibri" w:hAnsi="Calibri"/>
          <w:sz w:val="20"/>
        </w:rPr>
        <w:t>$34,774 recurring + $13,801 backup = $48,575/yr</w:t>
      </w:r>
    </w:p>
    <w:p>
      <w:pPr>
        <w:spacing w:after="80"/>
      </w:pPr>
      <w:r>
        <w:rPr>
          <w:rFonts w:ascii="Calibri" w:hAnsi="Calibri"/>
          <w:b/>
          <w:sz w:val="20"/>
        </w:rPr>
        <w:t xml:space="preserve">Focus: </w:t>
      </w:r>
      <w:r>
        <w:rPr>
          <w:rFonts w:ascii="Calibri" w:hAnsi="Calibri"/>
          <w:sz w:val="20"/>
        </w:rPr>
        <w:t>M365 right-sizing, SPLA reduction, backup optimization within HIPAA retention rules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7.1 M365 License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License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Seats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In Use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Unused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Monthly Waste</w:t>
            </w:r>
          </w:p>
        </w:tc>
      </w:tr>
      <w:tr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M365 Business Standard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69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64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$75/mo</w:t>
            </w:r>
          </w:p>
        </w:tc>
      </w:tr>
      <w:tr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M365 Business Basic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78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72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$43/mo</w:t>
            </w:r>
          </w:p>
        </w:tc>
      </w:tr>
      <w:tr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Power BI Pro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18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$34/mo</w:t>
            </w:r>
          </w:p>
        </w:tc>
      </w:tr>
      <w:tr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Total Unused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$152/mo ($1,824/yr)</w:t>
            </w:r>
          </w:p>
        </w:tc>
      </w:tr>
    </w:tbl>
    <w:p>
      <w:pPr>
        <w:spacing w:after="80"/>
      </w:pPr>
      <w:r>
        <w:rPr>
          <w:rFonts w:ascii="Calibri" w:hAnsi="Calibri"/>
          <w:b/>
          <w:sz w:val="20"/>
        </w:rPr>
        <w:t xml:space="preserve">Quick win: </w:t>
      </w:r>
      <w:r>
        <w:rPr>
          <w:rFonts w:ascii="Calibri" w:hAnsi="Calibri"/>
          <w:sz w:val="20"/>
        </w:rPr>
        <w:t>Reclaim 13 unused licenses → $1,824/yr savings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7.2 M365 Tier Optimization</w:t>
      </w:r>
    </w:p>
    <w:p>
      <w:pPr>
        <w:spacing w:after="80"/>
      </w:pPr>
      <w:r>
        <w:rPr>
          <w:rFonts w:ascii="Calibri" w:hAnsi="Calibri"/>
          <w:sz w:val="20"/>
        </w:rPr>
        <w:t>Not all 64 Standard users may need desktop Office apps. Each downgrade from Standard ($15/mo) to Basic ($7.20/mo) saves $7.80/mo.</w:t>
      </w:r>
    </w:p>
    <w:p>
      <w:pPr>
        <w:spacing w:after="80"/>
      </w:pPr>
      <w:r>
        <w:rPr>
          <w:rFonts w:ascii="Calibri" w:hAnsi="Calibri"/>
          <w:b/>
          <w:sz w:val="20"/>
        </w:rPr>
        <w:t xml:space="preserve">If 15 users can downgrade: </w:t>
      </w:r>
      <w:r>
        <w:rPr>
          <w:rFonts w:ascii="Calibri" w:hAnsi="Calibri"/>
          <w:sz w:val="20"/>
        </w:rPr>
        <w:t>$1,404/yr savings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7.3 SPLA &amp; Server Licensing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License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Annual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Tied To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RDP/User CAL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$5,520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50 CALs for terminal server access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Server Std 2-Core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$5,418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86 cores (server licensing)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SQL Server Standard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$222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 license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$11,160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</w:tbl>
    <w:p>
      <w:pPr>
        <w:pStyle w:val="ListBullet"/>
        <w:spacing w:after="40"/>
      </w:pPr>
      <w:r>
        <w:rPr>
          <w:rFonts w:ascii="Calibri" w:hAnsi="Calibri"/>
          <w:b/>
          <w:sz w:val="20"/>
        </w:rPr>
        <w:t>RDP CALs:</w:t>
      </w:r>
      <w:r>
        <w:rPr>
          <w:rFonts w:ascii="Calibri" w:hAnsi="Calibri"/>
          <w:sz w:val="20"/>
        </w:rPr>
        <w:t xml:space="preserve"> Under HIPAA, all users accessing ePHI systems must have proper licensed access. VDI 6→3 reduces CALs 50→45. Savings: $552/yr.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Server cores:</w:t>
      </w:r>
      <w:r>
        <w:rPr>
          <w:rFonts w:ascii="Calibri" w:hAnsi="Calibri"/>
          <w:sz w:val="20"/>
        </w:rPr>
        <w:t xml:space="preserve"> With 25 servers and VDI consolidation to 23, cores 86→76. Savings: $525/yr.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7.4 Copilot Evaluation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1 seat at $360/mo ($4,320/yr) — started Sep 2025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HIPAA concern:</w:t>
      </w:r>
      <w:r>
        <w:rPr>
          <w:rFonts w:ascii="Calibri" w:hAnsi="Calibri"/>
          <w:sz w:val="20"/>
        </w:rPr>
        <w:t xml:space="preserve"> Confirm Microsoft Copilot is covered under your existing BAA.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ROI question:</w:t>
      </w:r>
      <w:r>
        <w:rPr>
          <w:rFonts w:ascii="Calibri" w:hAnsi="Calibri"/>
          <w:sz w:val="20"/>
        </w:rPr>
        <w:t xml:space="preserve"> Is this single seat delivering $360/mo in productivity?</w:t>
      </w:r>
    </w:p>
    <w:p>
      <w:pPr>
        <w:spacing w:after="80"/>
      </w:pPr>
      <w:r>
        <w:rPr>
          <w:rFonts w:ascii="Calibri" w:hAnsi="Calibri"/>
          <w:b/>
          <w:sz w:val="20"/>
        </w:rPr>
        <w:t xml:space="preserve">Recommendation: </w:t>
      </w:r>
      <w:r>
        <w:rPr>
          <w:rFonts w:ascii="Calibri" w:hAnsi="Calibri"/>
          <w:sz w:val="20"/>
        </w:rPr>
        <w:t>If BAA-covered and ROI-justified, keep. Otherwise cancel. Potential savings: $4,320/yr.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7.5 Backup &amp; Archiving (HIPAA-Constrained)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Service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Count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Rate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Monthly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Annual</w:t>
            </w:r>
          </w:p>
        </w:tc>
      </w:tr>
      <w:tr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Veeam 365 Backup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199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$2.50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$498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$5,970</w:t>
            </w:r>
          </w:p>
        </w:tc>
      </w:tr>
      <w:tr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Image Backup (Servers)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$15.00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$405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$4,860</w:t>
            </w:r>
          </w:p>
        </w:tc>
      </w:tr>
      <w:tr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Email Archiving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142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$2.50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$355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$4,260</w:t>
            </w:r>
          </w:p>
        </w:tc>
      </w:tr>
      <w:tr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$1,258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$15,090</w:t>
            </w:r>
          </w:p>
        </w:tc>
      </w:tr>
    </w:tbl>
    <w:p>
      <w:pPr>
        <w:spacing w:after="80"/>
      </w:pPr>
      <w:r>
        <w:rPr>
          <w:rFonts w:ascii="Calibri" w:hAnsi="Calibri"/>
          <w:sz w:val="20"/>
        </w:rPr>
        <w:t>HIPAA retention rules limit aggressive cuts: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Email Archiving:</w:t>
      </w:r>
      <w:r>
        <w:rPr>
          <w:rFonts w:ascii="Calibri" w:hAnsi="Calibri"/>
          <w:sz w:val="20"/>
        </w:rPr>
        <w:t xml:space="preserve"> HIPAA requires 6-year retention. Conservative 142→120 (non-PHI mailboxes only). Savings: $660/yr.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Veeam 365:</w:t>
      </w:r>
      <w:r>
        <w:rPr>
          <w:rFonts w:ascii="Calibri" w:hAnsi="Calibri"/>
          <w:sz w:val="20"/>
        </w:rPr>
        <w:t xml:space="preserve"> Audit shared/inactive mailboxes without PHI. Conservative 199→175. Savings: $720/yr.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Image Backup:</w:t>
      </w:r>
      <w:r>
        <w:rPr>
          <w:rFonts w:ascii="Calibri" w:hAnsi="Calibri"/>
          <w:sz w:val="20"/>
        </w:rPr>
        <w:t xml:space="preserve"> Tracks server count. 27→23 with decommissioning. Savings: $720/yr.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7.6 Other Licensing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Annual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Recommendation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Sophos 1C-4G (Irvine)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$1,320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Keep — perimeter security required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Edge Appliance (Irvine)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$1,200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Review if SD-WAN covers this function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SSL Certificates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$843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Consolidate: wildcard covers most subdomains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Domains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$177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Keep — minimal cost</w:t>
            </w:r>
          </w:p>
        </w:tc>
      </w:tr>
    </w:tbl>
    <w:p>
      <w:pPr>
        <w:spacing w:after="80"/>
      </w:pPr>
      <w:r>
        <w:rPr>
          <w:rFonts w:ascii="Calibri" w:hAnsi="Calibri"/>
          <w:b/>
          <w:sz w:val="20"/>
        </w:rPr>
        <w:t xml:space="preserve">SSL Consolidation: </w:t>
      </w:r>
      <w:r>
        <w:rPr>
          <w:rFonts w:ascii="Calibri" w:hAnsi="Calibri"/>
          <w:sz w:val="20"/>
        </w:rPr>
        <w:t>Wildcard cert (*.orthoxpress.com) covers most subdomains, but 7+ individual certs are also active. Savings: ~$400/yr.</w:t>
      </w:r>
    </w:p>
    <w:p>
      <w:pPr>
        <w:spacing w:before="160" w:after="80"/>
      </w:pPr>
      <w:r>
        <w:rPr>
          <w:b/>
          <w:color w:val="1F4E79"/>
          <w:sz w:val="22"/>
        </w:rPr>
        <w:t>Licensing &amp; Backup Savings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Annual Savings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Reclaim unused M365 licenses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$1,824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Downgrade 15 Standard → Basic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$1,404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Cancel Copilot (if no ROI)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$4,320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Reduce RDP CALs (50 → 45)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$552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Reduce Server cores (86 → 76)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$525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Email archiving audit (142 → 120)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$660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Veeam 365 audit (199 → 175)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$720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Image backup (27 → 23)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$720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SSL consolidation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$400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 Licensing &amp; Backup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$11,125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color w:val="1F4E79"/>
          <w:sz w:val="32"/>
        </w:rPr>
        <w:t>8. Area 5: Additional Optimization Levers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8.1 VoIP Audit</w:t>
      </w:r>
    </w:p>
    <w:p>
      <w:pPr>
        <w:spacing w:after="80"/>
      </w:pPr>
      <w:r>
        <w:rPr>
          <w:rFonts w:ascii="Calibri" w:hAnsi="Calibri"/>
          <w:sz w:val="20"/>
        </w:rPr>
        <w:t>80 DID phone numbers at $3.60/mo = $3,456/yr. Audit for unused DIDs — if 20 are inactive: savings $864/yr.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8.2 Overnight Offshore Model — Already Optimized</w:t>
      </w:r>
    </w:p>
    <w:p>
      <w:pPr>
        <w:spacing w:after="80"/>
      </w:pPr>
      <w:r>
        <w:rPr>
          <w:rFonts w:ascii="Calibri" w:hAnsi="Calibri"/>
          <w:b/>
          <w:sz w:val="20"/>
        </w:rPr>
        <w:t xml:space="preserve">Key insight: </w:t>
      </w:r>
      <w:r>
        <w:rPr>
          <w:rFonts w:ascii="Calibri" w:hAnsi="Calibri"/>
          <w:sz w:val="20"/>
        </w:rPr>
        <w:t>The current overnight model is NOT a cost to cut — it IS ORX’s primary cost optimization.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Shift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Rate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2025 Hours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Annual Cost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Work Type</w:t>
            </w:r>
          </w:p>
        </w:tc>
      </w:tr>
      <w:tr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US Daytime (Offshore AH)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$30/hr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840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$25,200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Same-day support, user-facing</w:t>
            </w:r>
          </w:p>
        </w:tc>
      </w:tr>
      <w:tr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D5F5E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US Overnight (Offshore NH)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D5F5E3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$15/hr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D5F5E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1,263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D5F5E3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$18,945</w:t>
            </w:r>
          </w:p>
        </w:tc>
        <w:tc>
          <w:tcPr>
            <w:tcW w:type="dxa" w:w="187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D5F5E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Patch mgmt, monitoring, maintenance</w:t>
            </w:r>
          </w:p>
        </w:tc>
      </w:tr>
    </w:tbl>
    <w:p>
      <w:pPr>
        <w:spacing w:after="80"/>
      </w:pPr>
      <w:r>
        <w:rPr>
          <w:rFonts w:ascii="Calibri" w:hAnsi="Calibri"/>
          <w:sz w:val="20"/>
        </w:rPr>
        <w:t>The overnight shift deliberately routes non-urgent operational work — patch management failures, monitoring alerts, scheduled maintenance — to the $15/hr rate. This is 60% of all offshore hours at half the daytime rate. Reducing overnight hours would push this work to the $30/hr daytime shift, increasing costs by up to $18,945/yr.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8.3 Anti-Spam / Email Security — HIPAA-Required</w:t>
      </w:r>
    </w:p>
    <w:p>
      <w:pPr>
        <w:spacing w:after="80"/>
      </w:pPr>
      <w:r>
        <w:rPr>
          <w:rFonts w:ascii="Calibri" w:hAnsi="Calibri"/>
          <w:sz w:val="20"/>
        </w:rPr>
        <w:t>136 mailboxes at $4.25/mo = $6,936/yr. Email is the #1 PHI exposure vector. Third-party anti-spam provides a layer beyond M365’s built-in EOP. Under HIPAA’s defense-in-depth posture, this must remain on all mailboxes. No savings.</w:t>
      </w:r>
    </w:p>
    <w:p>
      <w:pPr>
        <w:spacing w:before="160" w:after="80"/>
      </w:pPr>
      <w:r>
        <w:rPr>
          <w:b/>
          <w:color w:val="1F4E79"/>
          <w:sz w:val="22"/>
        </w:rPr>
        <w:t>Additional Savings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Annual Savings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VoIP DID audit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$864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 Additional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$864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color w:val="1F4E79"/>
          <w:sz w:val="32"/>
        </w:rPr>
        <w:t>9. Consolidated Savings Summary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9.1 Phase 1: Quick Wins (0–3 months)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Annual Savings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Reclaim 13 unused M365 licenses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$1,824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Downgrade 15 Standard → Basic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$1,404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Cancel Copilot (if no ROI)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$4,320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Email archiving audit (142 → 120)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$660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Veeam 365 audit (199 → 175)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$720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SSL consolidation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$400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VoIP DID audit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$864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Phase 1 Total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$10,192</w:t>
            </w:r>
          </w:p>
        </w:tc>
      </w:tr>
    </w:tbl>
    <w:p>
      <w:pPr>
        <w:pStyle w:val="Heading2"/>
        <w:spacing w:before="200" w:after="80"/>
      </w:pPr>
      <w:r>
        <w:rPr>
          <w:b/>
          <w:color w:val="1F4E79"/>
          <w:sz w:val="26"/>
        </w:rPr>
        <w:t>9.2 Phase 2: Contract &amp; Infrastructure (3–6 months)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Annual Savings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CTO retainer restructuring (15 → 8 hrs @ $250/hr)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$6,700–$16,500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Dev billing restructuring (tiered + project-based)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$3,600–$14,700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VDI consolidation (6 → 3)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$1,800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JRMEDSVR01 review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$0–$1,800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Storage tier optimization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$2,400–$4,800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Reduce RDP CALs &amp; Server cores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$1,077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Image backup (27 → 23)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$720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Phase 2 Total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$16,297–$41,397</w:t>
            </w:r>
          </w:p>
        </w:tc>
      </w:tr>
    </w:tbl>
    <w:p>
      <w:pPr>
        <w:pStyle w:val="Heading2"/>
        <w:spacing w:before="200" w:after="80"/>
      </w:pPr>
      <w:r>
        <w:rPr>
          <w:b/>
          <w:color w:val="1F4E79"/>
          <w:sz w:val="26"/>
        </w:rPr>
        <w:t>9.3 Additional Ongoing Optimization (6+ months)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Annual Savings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Edge Appliance review (if SD-WAN covers)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$1,200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Dev volume scaling into lower rate tiers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Variable</w:t>
            </w:r>
          </w:p>
        </w:tc>
      </w:tr>
      <w:tr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Quarterly license audits (prevent waste)</w:t>
            </w:r>
          </w:p>
        </w:tc>
        <w:tc>
          <w:tcPr>
            <w:tcW w:type="dxa" w:w="4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Variable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color w:val="1F4E79"/>
          <w:sz w:val="32"/>
        </w:rPr>
        <w:t>10. Overall Projection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Annual Savings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New Spend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% Reduction</w:t>
            </w:r>
          </w:p>
        </w:tc>
      </w:tr>
      <w:tr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Phase 1 only (quick wins)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$10,192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$282,796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3%</w:t>
            </w:r>
          </w:p>
        </w:tc>
      </w:tr>
      <w:tr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Phase 1 + 2 (realistic target)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$26K–$52K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$241K–$267K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9–18%</w:t>
            </w:r>
          </w:p>
        </w:tc>
      </w:tr>
    </w:tbl>
    <w:p>
      <w:pPr>
        <w:pStyle w:val="Heading2"/>
        <w:spacing w:before="200" w:after="80"/>
      </w:pPr>
      <w:r>
        <w:rPr>
          <w:b/>
          <w:color w:val="1F4E79"/>
          <w:sz w:val="26"/>
        </w:rPr>
        <w:t>10.1 Why 35–50% Is Extremely Difficult Under HIPAA</w:t>
      </w:r>
    </w:p>
    <w:p>
      <w:pPr>
        <w:spacing w:after="80"/>
      </w:pPr>
      <w:r>
        <w:rPr>
          <w:rFonts w:ascii="Calibri" w:hAnsi="Calibri"/>
          <w:sz w:val="20"/>
        </w:rPr>
        <w:t>The gap between the 35–50% target and the realistic 9–18% comes from HIPAA-mandated costs that cannot be reduced: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HIPAA-Protected Cost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Annual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Why It Can’t Be Cut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ADBD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Dual EDR (CrowdStrike + Huntress)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ADBD8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$14,100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ADBD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Defense-in-depth for ePHI endpoints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ADBD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DNS Filtering (→ CloudBrink)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ADBD8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~$7,580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ADBD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HIPAA transmission security + CRM isolation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ADBD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Dev/test server infrastructure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ADBD8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~$8,000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ADBD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Dev/prod segmentation required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ADBD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AD redundancy (2 controllers)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ADBD8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~$3,600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ADBD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Access control availability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ADBD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Email archiving (core 120 users)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ADBD8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$3,600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ADBD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6-year retention requirement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ADBD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Anti-spam (all mailboxes)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ADBD8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$6,936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ADBD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PHI transmission security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ADBD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Pen testing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ADBD8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$756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ADBD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Risk analysis requirement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ADBD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Overnight offshore model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ADBD8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$18,945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ADBD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Already the lowest-cost lever (cutting it increases costs)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 HIPAA floor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~$63,500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</w:tbl>
    <w:p>
      <w:pPr>
        <w:spacing w:after="80"/>
      </w:pPr>
      <w:r>
        <w:rPr>
          <w:rFonts w:ascii="Calibri" w:hAnsi="Calibri"/>
          <w:sz w:val="20"/>
        </w:rPr>
        <w:t>Additionally, core managed services (monitoring, RMM, backup, patching) at ~$32K/yr are operational necessities for a 136-user environment.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10.2 Path to Further Savings Beyond Phase 2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Dev volume scaling</w:t>
      </w:r>
      <w:r>
        <w:rPr>
          <w:rFonts w:ascii="Calibri" w:hAnsi="Calibri"/>
          <w:sz w:val="20"/>
        </w:rPr>
        <w:t xml:space="preserve"> — As hours increase past 40/mo, rate drops from $45 to $40/hr; past 80/mo it drops to $35/hr.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Continued infrastructure optimization</w:t>
      </w:r>
      <w:r>
        <w:rPr>
          <w:rFonts w:ascii="Calibri" w:hAnsi="Calibri"/>
          <w:sz w:val="20"/>
        </w:rPr>
        <w:t xml:space="preserve"> — As servers age out and workloads evolve, further consolidation opportunities may emerge.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Quarterly license audits</w:t>
      </w:r>
      <w:r>
        <w:rPr>
          <w:rFonts w:ascii="Calibri" w:hAnsi="Calibri"/>
          <w:sz w:val="20"/>
        </w:rPr>
        <w:t xml:space="preserve"> — Reviewing seats every quarter rather than annually prevents waste accumulation.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1F4E79"/>
          <w:sz w:val="32"/>
        </w:rPr>
        <w:t>11. Recommended Approach</w:t>
      </w:r>
    </w:p>
    <w:p>
      <w:pPr>
        <w:spacing w:after="80"/>
      </w:pPr>
      <w:r>
        <w:rPr>
          <w:rFonts w:ascii="Calibri" w:hAnsi="Calibri"/>
          <w:b/>
          <w:sz w:val="20"/>
        </w:rPr>
        <w:t xml:space="preserve">Target: </w:t>
      </w:r>
      <w:r>
        <w:rPr>
          <w:rFonts w:ascii="Calibri" w:hAnsi="Calibri"/>
          <w:sz w:val="20"/>
        </w:rPr>
        <w:t>15–18% reduction (~$245K) within 6 months.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Month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Impact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Month 1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Execute Phase 1 quick wins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−$10K/yr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Months 2–3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Restructure CTO retainer (8 hrs @ $250)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−$7K–$17K/yr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Months 2–3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Implement dev billing tiers + GSD project tracking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−$4K–$15K/yr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Months 3–6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VDI consolidation + storage optimization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−$4K–$8K/yr</w:t>
            </w:r>
          </w:p>
        </w:tc>
      </w:tr>
      <w:tr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Ongoing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Quarterly license audits</w:t>
            </w:r>
          </w:p>
        </w:tc>
        <w:tc>
          <w:tcPr>
            <w:tcW w:type="dxa" w:w="31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Prevent waste</w:t>
            </w:r>
          </w:p>
        </w:tc>
      </w:tr>
    </w:tbl>
    <w:p>
      <w:pPr>
        <w:pStyle w:val="Heading2"/>
        <w:spacing w:before="200" w:after="80"/>
      </w:pPr>
      <w:r>
        <w:rPr>
          <w:b/>
          <w:color w:val="1F4E79"/>
          <w:sz w:val="26"/>
        </w:rPr>
        <w:t>11.1 Cost Optimization vs. Risk Trade-offs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Savings Tier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Annual Spend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Risk Level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HIPAA Impact</w:t>
            </w:r>
          </w:p>
        </w:tc>
      </w:tr>
      <w:tr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D5F5E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Conservative (Phase 1)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D5F5E3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$283K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D5F5E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D5F5E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Fully compliant</w:t>
            </w:r>
          </w:p>
        </w:tc>
      </w:tr>
      <w:tr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D5F5E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Moderate (Phase 1+2)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D5F5E3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$241K–$266K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D5F5E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Low</w:t>
            </w:r>
          </w:p>
        </w:tc>
        <w:tc>
          <w:tcPr>
            <w:tcW w:type="dxa" w:w="234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D5F5E3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Compliant, advisory coverage reduced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i/>
          <w:color w:val="666666"/>
          <w:sz w:val="18"/>
        </w:rPr>
        <w:t>Prepared for discussion — all figures based on 2025 actual spend data, March 2026 service inventory (25 servers), and HIPAA Security Rule requirements (45 CFR §164.308–312). Technijian DC hosting assumed throughout.</w:t>
      </w:r>
    </w:p>
    <w:p>
      <w:pPr>
        <w:spacing w:after="80"/>
      </w:pPr>
      <w:r>
        <w:rPr>
          <w:rFonts w:ascii="Calibri" w:hAnsi="Calibri"/>
          <w:i/>
          <w:color w:val="666666"/>
          <w:sz w:val="18"/>
        </w:rPr>
        <w:t>CONFIDENTIAL — Technijian Inc. © 2026</w:t>
      </w:r>
    </w:p>
    <w:sectPr w:rsidR="00FC693F" w:rsidRPr="0006063C" w:rsidSect="00034616"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