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744"/>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744"/>
            <w:tcBorders>
              <w:top w:val="nil"/>
              <w:left w:val="nil"/>
              <w:bottom w:val="nil"/>
              <w:right w:val="nil"/>
              <w:insideH w:val="nil"/>
              <w:insideV w:val="nil"/>
            </w:tcBorders>
          </w:tcPr>
          <w:p/>
        </w:tc>
      </w:tr>
    </w:tbl>
    <w:p/>
    <w:p>
      <w:pPr>
        <w:jc w:val="center"/>
      </w:pPr>
      <w:r>
        <w:rPr>
          <w:rFonts w:ascii="Open Sans" w:hAnsi="Open Sans"/>
          <w:b/>
          <w:i w:val="0"/>
          <w:color w:val="1A1A2E"/>
          <w:sz w:val="56"/>
        </w:rPr>
        <w:t>CrowdStrike Security Activity Report</w:t>
      </w:r>
    </w:p>
    <w:p>
      <w:pPr>
        <w:spacing w:after="120"/>
        <w:jc w:val="center"/>
      </w:pPr>
      <w:r>
        <w:rPr>
          <w:rFonts w:ascii="Open Sans" w:hAnsi="Open Sans"/>
          <w:b w:val="0"/>
          <w:i w:val="0"/>
          <w:color w:val="59595B"/>
          <w:sz w:val="32"/>
        </w:rPr>
        <w:t>Culp Construction Company</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Culp Construction Company during March 2026. The CrowdStrike Falcon endpoint detection and response (EDR) platform protected your environment and Technijian's security operations team reviewed every alert. Below is a plain-English summary of what was detected,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22</w:t>
            </w:r>
          </w:p>
          <w:p>
            <w:pPr>
              <w:spacing w:before="0" w:after="240"/>
              <w:jc w:val="center"/>
            </w:pPr>
            <w:r>
              <w:rPr>
                <w:rFonts w:ascii="Open Sans" w:hAnsi="Open Sans"/>
                <w:b w:val="0"/>
                <w:i w:val="0"/>
                <w:color w:val="59595B"/>
                <w:sz w:val="20"/>
              </w:rPr>
              <w:t>Total Alerts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CC0000"/>
                <w:sz w:val="48"/>
              </w:rPr>
              <w:t>8</w:t>
            </w:r>
          </w:p>
          <w:p>
            <w:pPr>
              <w:spacing w:before="0" w:after="240"/>
              <w:jc w:val="center"/>
            </w:pPr>
            <w:r>
              <w:rPr>
                <w:rFonts w:ascii="Open Sans" w:hAnsi="Open Sans"/>
                <w:b w:val="0"/>
                <w:i w:val="0"/>
                <w:color w:val="59595B"/>
                <w:sz w:val="20"/>
              </w:rPr>
              <w:t>Critical / High</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5</w:t>
            </w:r>
          </w:p>
          <w:p>
            <w:pPr>
              <w:spacing w:before="0" w:after="240"/>
              <w:jc w:val="center"/>
            </w:pPr>
            <w:r>
              <w:rPr>
                <w:rFonts w:ascii="Open Sans" w:hAnsi="Open Sans"/>
                <w:b w:val="0"/>
                <w:i w:val="0"/>
                <w:color w:val="59595B"/>
                <w:sz w:val="20"/>
              </w:rPr>
              <w:t>Hosts Affected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3</w:t>
            </w:r>
          </w:p>
          <w:p>
            <w:pPr>
              <w:spacing w:before="0" w:after="240"/>
              <w:jc w:val="center"/>
            </w:pPr>
            <w:r>
              <w:rPr>
                <w:rFonts w:ascii="Open Sans" w:hAnsi="Open Sans"/>
                <w:b w:val="0"/>
                <w:i w:val="0"/>
                <w:color w:val="59595B"/>
                <w:sz w:val="20"/>
              </w:rPr>
              <w:t>Alert Categories</w:t>
            </w:r>
          </w:p>
        </w:tc>
      </w:tr>
    </w:tbl>
    <w:tbl>
      <w:tblPr>
        <w:tblW w:type="auto" w:w="0"/>
        <w:tblLook w:firstColumn="1" w:firstRow="1" w:lastColumn="0" w:lastRow="0" w:noHBand="0" w:noVBand="1" w:val="04A0"/>
      </w:tblPr>
      <w:tblGrid>
        <w:gridCol w:w="9360"/>
      </w:tblGrid>
      <w:tr>
        <w:tc>
          <w:tcPr>
            <w:tcW w:type="dxa" w:w="9360"/>
            <w:shd w:val="clear" w:color="auto" w:fill="FFEEEE"/>
            <w:tcBorders>
              <w:top w:val="single" w:sz="12" w:color="CC0000"/>
              <w:left w:val="single" w:sz="12" w:color="CC0000"/>
              <w:bottom w:val="single" w:sz="12" w:color="CC0000"/>
              <w:right w:val="single" w:sz="12" w:color="CC0000"/>
            </w:tcBorders>
          </w:tcPr>
          <w:p>
            <w:pPr>
              <w:spacing w:before="120" w:after="120"/>
            </w:pPr>
            <w:r>
              <w:rPr>
                <w:rFonts w:ascii="Open Sans" w:hAnsi="Open Sans"/>
                <w:b w:val="0"/>
                <w:i w:val="0"/>
                <w:color w:val="1A1A2E"/>
                <w:sz w:val="22"/>
              </w:rPr>
              <w:t>8 Critical or High severity alert(s) were raised this month. See the Threat Activity section for details and recommended actions.</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During March 2026, CrowdStrike Falcon raised 22 alert(s) across 5 endpoint(s). Each alert was reviewed by Technijian's security operations team. The breakdown below shows what was detected and at what severity.</w:t>
      </w:r>
    </w:p>
    <w:p/>
    <w:p>
      <w:pPr>
        <w:spacing w:after="160"/>
      </w:pPr>
      <w:r>
        <w:rPr>
          <w:rFonts w:ascii="Open Sans" w:hAnsi="Open Sans"/>
          <w:b/>
          <w:i w:val="0"/>
          <w:color w:val="1A1A2E"/>
          <w:sz w:val="24"/>
        </w:rPr>
        <w:t>Alerts by severity</w:t>
      </w:r>
    </w:p>
    <w:tbl>
      <w:tblPr>
        <w:tblW w:type="auto" w:w="0"/>
        <w:tblLayout w:type="fixed"/>
        <w:tblLook w:firstColumn="1" w:firstRow="1" w:lastColumn="0" w:lastRow="0" w:noHBand="0" w:noVBand="1" w:val="04A0"/>
      </w:tblPr>
      <w:tblGrid>
        <w:gridCol w:w="4680"/>
        <w:gridCol w:w="4680"/>
      </w:tblGrid>
      <w:tr>
        <w:tc>
          <w:tcPr>
            <w:tcW w:type="dxa" w:w="50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50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bl>
    <w:p/>
    <w:p>
      <w:pPr>
        <w:spacing w:after="160"/>
      </w:pPr>
      <w:r>
        <w:rPr>
          <w:rFonts w:ascii="Open Sans" w:hAnsi="Open Sans"/>
          <w:b/>
          <w:i w:val="0"/>
          <w:color w:val="1A1A2E"/>
          <w:sz w:val="24"/>
        </w:rPr>
        <w:t>Detection categories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Category</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Detection Signal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Correlated Alert</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Large Detection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MITRE ATT&amp;CK tactics observed</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Most active endpoints</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Alert detail</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Tactic</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RansomwareFilesModifiedIndicator</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 at 2026-03-28T01:38:13Z</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CommandLineStomping</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2026-03-28</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DESKTOP-4TTOOKT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2026-03-31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 at 2026-03-31T08:02:12Z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CCC-DC-AD-01</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VolumeShadowSnapshotDeleted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CHUCKHOME-DT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Impact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 at 2026-03-16T13:43:12Z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1EAAC8"/>
                <w:sz w:val="19"/>
              </w:rPr>
              <w:t>Medium</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SuspiciousRMMUsage</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Command and Control</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PWDump4.Untrusted</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SensorHandleOpenedLow</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Defense Evasion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Credential Access</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Discovery</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Execution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Informational</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 at 2026-03-05T02:34:27Z</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Closed</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CrowdStrike Falcon monitored your endpoints 24x7 using behavioral AI and threat intelligence. Every process, network connection, and file operation was inspected in real time.</w:t>
      </w:r>
    </w:p>
    <w:p>
      <w:pPr>
        <w:pStyle w:val="ListBullet"/>
        <w:spacing w:after="80"/>
      </w:pPr>
      <w:r>
        <w:rPr>
          <w:rFonts w:ascii="Open Sans" w:hAnsi="Open Sans"/>
          <w:b/>
          <w:i w:val="0"/>
          <w:color w:val="1A1A2E"/>
          <w:sz w:val="22"/>
        </w:rPr>
        <w:t xml:space="preserve">Alert triage. </w:t>
      </w:r>
      <w:r>
        <w:rPr>
          <w:rFonts w:ascii="Open Sans" w:hAnsi="Open Sans"/>
          <w:b w:val="0"/>
          <w:i w:val="0"/>
          <w:color w:val="59595B"/>
          <w:sz w:val="22"/>
        </w:rPr>
        <w:t>Our security operations team reviewed all 22 alert(s) raised this month and classified each by severity and risk.</w:t>
      </w:r>
    </w:p>
    <w:p>
      <w:pPr>
        <w:pStyle w:val="ListBullet"/>
        <w:spacing w:after="80"/>
      </w:pPr>
      <w:r>
        <w:rPr>
          <w:rFonts w:ascii="Open Sans" w:hAnsi="Open Sans"/>
          <w:b/>
          <w:i w:val="0"/>
          <w:color w:val="1A1A2E"/>
          <w:sz w:val="22"/>
        </w:rPr>
        <w:t xml:space="preserve">Threat intelligence. </w:t>
      </w:r>
      <w:r>
        <w:rPr>
          <w:rFonts w:ascii="Open Sans" w:hAnsi="Open Sans"/>
          <w:b w:val="0"/>
          <w:i w:val="0"/>
          <w:color w:val="59595B"/>
          <w:sz w:val="22"/>
        </w:rPr>
        <w:t>Detections were cross-referenced with CrowdStrike's global threat intelligence database and MITRE ATT&amp;CK framework to identify adversary tactics and techniques.</w:t>
      </w:r>
    </w:p>
    <w:p>
      <w:pPr>
        <w:pStyle w:val="ListBullet"/>
        <w:spacing w:after="80"/>
      </w:pPr>
      <w:r>
        <w:rPr>
          <w:rFonts w:ascii="Open Sans" w:hAnsi="Open Sans"/>
          <w:b/>
          <w:i w:val="0"/>
          <w:color w:val="1A1A2E"/>
          <w:sz w:val="22"/>
        </w:rPr>
        <w:t xml:space="preserve">Incident coordination. </w:t>
      </w:r>
      <w:r>
        <w:rPr>
          <w:rFonts w:ascii="Open Sans" w:hAnsi="Open Sans"/>
          <w:b w:val="0"/>
          <w:i w:val="0"/>
          <w:color w:val="59595B"/>
          <w:sz w:val="22"/>
        </w:rPr>
        <w:t>No escalated incidents required response this month. All detections were resolved within normal triage workflow.</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Endpoint inventory, sensor version, and detection telemetry were captured to support your security posture reviews and compliance reporting.</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Review and close open Critical/High alerts</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29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Date</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331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Alert 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w:t>
            </w:r>
          </w:p>
        </w:tc>
        <w:tc>
          <w:tcPr>
            <w:tcW w:type="dxa" w:w="12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SAMHashDump.Untrusted</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Critical</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UmppcBypassSuspected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2026-03-16</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PWDump4.Untrusted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DESKTOP-2M7TLEI</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GenericSystemInfoDiscovery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PWDump2.Untrusted</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GenericSystemNetworkConfigDiscovery</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2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r>
        <w:tc>
          <w:tcPr>
            <w:tcW w:type="dxa" w:w="129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2026-03-05</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High</w:t>
            </w:r>
          </w:p>
        </w:tc>
        <w:tc>
          <w:tcPr>
            <w:tcW w:type="dxa" w:w="331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GenericPowershellExecution</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KIMH-DESKTOP-20</w:t>
            </w:r>
          </w:p>
        </w:tc>
        <w:tc>
          <w:tcPr>
            <w:tcW w:type="dxa" w:w="12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New</w:t>
            </w:r>
          </w:p>
        </w:tc>
      </w:tr>
    </w:tbl>
    <w:p>
      <w:pPr>
        <w:spacing w:after="160"/>
      </w:pPr>
      <w:r>
        <w:rPr>
          <w:rFonts w:ascii="Open Sans" w:hAnsi="Open Sans"/>
          <w:b w:val="0"/>
          <w:i w:val="0"/>
          <w:color w:val="59595B"/>
          <w:sz w:val="22"/>
        </w:rPr>
        <w:t>Recommended action: work with your Technijian contact to review each open Critical/High alert, confirm no further attacker activity is present, and close or suppress confirmed false positives.</w:t>
      </w:r>
    </w:p>
    <w:p/>
    <w:p>
      <w:pPr>
        <w:spacing w:after="160"/>
      </w:pPr>
      <w:r>
        <w:rPr>
          <w:rFonts w:ascii="Open Sans" w:hAnsi="Open Sans"/>
          <w:b/>
          <w:i w:val="0"/>
          <w:color w:val="1A1A2E"/>
          <w:sz w:val="24"/>
        </w:rPr>
        <w:t>Enable daily host inventory snapshots</w:t>
      </w:r>
    </w:p>
    <w:p>
      <w:pPr>
        <w:spacing w:after="160"/>
      </w:pPr>
      <w:r>
        <w:rPr>
          <w:rFonts w:ascii="Open Sans" w:hAnsi="Open Sans"/>
          <w:b w:val="0"/>
          <w:i w:val="0"/>
          <w:color w:val="59595B"/>
          <w:sz w:val="22"/>
        </w:rPr>
        <w:t>The CrowdStrike daily pull scheduled task has not yet been registered on the Technijian monitoring workstation. Once registered, future reports will include full endpoint inventory with sensor version, OS distribution, and check-in age analysis. Contact your Technijian account manager to schedule this one-time setup step.</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delivers 24x7 endpoint detection and response (EDR) powered by the CrowdStrike Falcon platform. Activity captured here is pulled directly from the Falcon API for your tenant. Alert and incident data is filtered to the calendar month above. Endpoint inventory, when available, is a point-in-time snapshot taken at report generation.</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