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1.1.0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(codex exec --full-auto), multi-agent cost tracking, supervisor pattern memory, false convergence fix, API key management</w:t>
            </w:r>
          </w:p>
        </w:tc>
      </w:tr>
    </w:tbl>
    <w:p>
      <w:r>
        <w:br w:type="page"/>
      </w:r>
    </w:p>
    <w:p>
      <w:pPr>
        <w:pStyle w:val="Heading1"/>
      </w:pPr>
      <w:r>
        <w:t>GSD Autonomous Development Engine - Developer Guide</w:t>
      </w:r>
    </w:p>
    <w:p>
      <w:pPr>
        <w:spacing w:before="40" w:after="120"/>
      </w:pPr>
      <w:r>
        <w:rPr>
          <w:rFonts w:ascii="Calibri" w:hAnsi="Calibri"/>
          <w:b/>
          <w:color w:val="000000"/>
          <w:sz w:val="22"/>
        </w:rPr>
        <w:t>Version:</w:t>
      </w:r>
      <w:r>
        <w:rPr>
          <w:rFonts w:ascii="Calibri" w:hAnsi="Calibri"/>
          <w:color w:val="000000"/>
          <w:sz w:val="22"/>
        </w:rPr>
        <w:t xml:space="preserve"> 1.5.0</w:t>
      </w:r>
    </w:p>
    <w:p>
      <w:pPr>
        <w:spacing w:before="40" w:after="120"/>
      </w:pPr>
      <w:r>
        <w:rPr>
          <w:rFonts w:ascii="Calibri" w:hAnsi="Calibri"/>
          <w:b/>
          <w:color w:val="000000"/>
          <w:sz w:val="22"/>
        </w:rPr>
        <w:t>Date:</w:t>
      </w:r>
      <w:r>
        <w:rPr>
          <w:rFonts w:ascii="Calibri" w:hAnsi="Calibri"/>
          <w:color w:val="000000"/>
          <w:sz w:val="22"/>
        </w:rPr>
        <w:t xml:space="preserve"> March 2026</w:t>
      </w:r>
    </w:p>
    <w:p>
      <w:pPr>
        <w:spacing w:before="40" w:after="120"/>
      </w:pPr>
      <w:r>
        <w:rPr>
          <w:rFonts w:ascii="Calibri" w:hAnsi="Calibri"/>
          <w:b/>
          <w:color w:val="000000"/>
          <w:sz w:val="22"/>
        </w:rPr>
        <w:t>Classification:</w:t>
      </w:r>
      <w:r>
        <w:rPr>
          <w:rFonts w:ascii="Calibri" w:hAnsi="Calibri"/>
          <w:color w:val="000000"/>
          <w:sz w:val="22"/>
        </w:rPr>
        <w:t xml:space="preserve"> Confidential - Internal Use Only</w:t>
      </w:r>
    </w:p>
    <w:p>
      <w:pPr>
        <w:pStyle w:val="Heading1"/>
        <w:pBdr>
          <w:bottom w:val="single" w:sz="8" w:space="1" w:color="2B579A"/>
        </w:pBdr>
      </w:pPr>
      <w:r>
        <w:t>Document History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Version</w:t>
            </w:r>
          </w:p>
        </w:tc>
        <w:tc>
          <w:tcPr>
            <w:tcW w:type="dxa" w:w="2880"/>
            <w:shd w:fill="2B579A" w:val="clear"/>
          </w:tcPr>
          <w:p>
            <w:pPr>
              <w:spacing w:before="80" w:after="80"/>
            </w:pPr>
            <w:r>
              <w:rPr>
                <w:b/>
                <w:color w:val="FFFFFF"/>
                <w:sz w:val="19"/>
              </w:rPr>
            </w:r>
            <w:r>
              <w:rPr>
                <w:rFonts w:ascii="Calibri" w:hAnsi="Calibri"/>
                <w:b/>
                <w:color w:val="FFFFFF"/>
                <w:sz w:val="19"/>
              </w:rPr>
              <w:t>Date</w:t>
            </w:r>
          </w:p>
        </w:tc>
        <w:tc>
          <w:tcPr>
            <w:tcW w:type="dxa" w:w="2880"/>
            <w:shd w:fill="2B579A" w:val="clear"/>
          </w:tcPr>
          <w:p>
            <w:pPr>
              <w:spacing w:before="80" w:after="80"/>
            </w:pPr>
            <w:r>
              <w:rPr>
                <w:b/>
                <w:color w:val="FFFFFF"/>
                <w:sz w:val="19"/>
              </w:rPr>
            </w:r>
            <w:r>
              <w:rPr>
                <w:rFonts w:ascii="Calibri" w:hAnsi="Calibri"/>
                <w:b/>
                <w:color w:val="FFFFFF"/>
                <w:sz w:val="19"/>
              </w:rPr>
              <w:t>Changes</w:t>
            </w:r>
          </w:p>
        </w:tc>
      </w:tr>
      <w:tr>
        <w:tc>
          <w:tcPr>
            <w:tcW w:type="dxa" w:w="2880"/>
          </w:tcPr>
          <w:p>
            <w:pPr>
              <w:spacing w:before="60" w:after="60"/>
            </w:pPr>
            <w:r/>
            <w:r>
              <w:rPr>
                <w:rFonts w:ascii="Calibri" w:hAnsi="Calibri"/>
                <w:color w:val="000000"/>
                <w:sz w:val="19"/>
              </w:rPr>
              <w:t>1.0.0</w:t>
            </w:r>
          </w:p>
        </w:tc>
        <w:tc>
          <w:tcPr>
            <w:tcW w:type="dxa" w:w="2880"/>
          </w:tcPr>
          <w:p>
            <w:pPr>
              <w:spacing w:before="60" w:after="60"/>
            </w:pPr>
            <w:r/>
            <w:r>
              <w:rPr>
                <w:rFonts w:ascii="Calibri" w:hAnsi="Calibri"/>
                <w:color w:val="000000"/>
                <w:sz w:val="19"/>
              </w:rPr>
              <w:t>February 2026</w:t>
            </w:r>
          </w:p>
        </w:tc>
        <w:tc>
          <w:tcPr>
            <w:tcW w:type="dxa" w:w="2880"/>
          </w:tcPr>
          <w:p>
            <w:pPr>
              <w:spacing w:before="60" w:after="60"/>
            </w:pPr>
            <w:r/>
            <w:r>
              <w:rPr>
                <w:rFonts w:ascii="Calibri" w:hAnsi="Calibri"/>
                <w:color w:val="000000"/>
                <w:sz w:val="19"/>
              </w:rPr>
              <w:t>Initial release</w:t>
            </w:r>
          </w:p>
        </w:tc>
      </w:tr>
      <w:tr>
        <w:tc>
          <w:tcPr>
            <w:tcW w:type="dxa" w:w="2880"/>
            <w:shd w:fill="EDF2FA" w:val="clear"/>
          </w:tcPr>
          <w:p>
            <w:pPr>
              <w:spacing w:before="60" w:after="60"/>
            </w:pPr>
            <w:r/>
            <w:r>
              <w:rPr>
                <w:rFonts w:ascii="Calibri" w:hAnsi="Calibri"/>
                <w:color w:val="000000"/>
                <w:sz w:val="19"/>
              </w:rPr>
              <w:t>1.1.0</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Codex CLI update, multi-agent support, supervisor, cost tracking</w:t>
            </w:r>
          </w:p>
        </w:tc>
      </w:tr>
      <w:tr>
        <w:tc>
          <w:tcPr>
            <w:tcW w:type="dxa" w:w="2880"/>
          </w:tcPr>
          <w:p>
            <w:pPr>
              <w:spacing w:before="60" w:after="60"/>
            </w:pPr>
            <w:r/>
            <w:r>
              <w:rPr>
                <w:rFonts w:ascii="Calibri" w:hAnsi="Calibri"/>
                <w:color w:val="000000"/>
                <w:sz w:val="19"/>
              </w:rPr>
              <w:t>1.2.0</w:t>
            </w:r>
          </w:p>
        </w:tc>
        <w:tc>
          <w:tcPr>
            <w:tcW w:type="dxa" w:w="2880"/>
          </w:tcPr>
          <w:p>
            <w:pPr>
              <w:spacing w:before="60" w:after="60"/>
            </w:pPr>
            <w:r/>
            <w:r>
              <w:rPr>
                <w:rFonts w:ascii="Calibri" w:hAnsi="Calibri"/>
                <w:color w:val="000000"/>
                <w:sz w:val="19"/>
              </w:rPr>
              <w:t>March 2026</w:t>
            </w:r>
          </w:p>
        </w:tc>
        <w:tc>
          <w:tcPr>
            <w:tcW w:type="dxa" w:w="2880"/>
          </w:tcPr>
          <w:p>
            <w:pPr>
              <w:spacing w:before="60" w:after="60"/>
            </w:pPr>
            <w:r/>
            <w:r>
              <w:rPr>
                <w:rFonts w:ascii="Calibri" w:hAnsi="Calibri"/>
                <w:color w:val="000000"/>
                <w:sz w:val="19"/>
              </w:rPr>
              <w:t>LLM Council, parallel execution, resilience hardening</w:t>
            </w:r>
          </w:p>
        </w:tc>
      </w:tr>
      <w:tr>
        <w:tc>
          <w:tcPr>
            <w:tcW w:type="dxa" w:w="2880"/>
            <w:shd w:fill="EDF2FA" w:val="clear"/>
          </w:tcPr>
          <w:p>
            <w:pPr>
              <w:spacing w:before="60" w:after="60"/>
            </w:pPr>
            <w:r/>
            <w:r>
              <w:rPr>
                <w:rFonts w:ascii="Calibri" w:hAnsi="Calibri"/>
                <w:color w:val="000000"/>
                <w:sz w:val="19"/>
              </w:rPr>
              <w:t>1.5.0</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Quality gates (DB completeness, security compliance, spec validation), chunked council reviews</w:t>
            </w:r>
          </w:p>
        </w:tc>
      </w:tr>
    </w:tbl>
    <w:p>
      <w:pPr>
        <w:spacing w:before="80" w:after="80"/>
      </w:pPr>
    </w:p>
    <w:p>
      <w:pPr>
        <w:pStyle w:val="Heading1"/>
      </w:pPr>
      <w:r>
        <w:t>Chapter 1: Introduction</w:t>
      </w:r>
    </w:p>
    <w:p>
      <w:pPr>
        <w:pStyle w:val="Heading1"/>
        <w:pBdr>
          <w:bottom w:val="single" w:sz="8" w:space="1" w:color="2B579A"/>
        </w:pBdr>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three AI agents -- Claude Code for reasoning, Codex CLI for code generation, and Gemini CLI for research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1"/>
        <w:pBdr>
          <w:bottom w:val="single" w:sz="8" w:space="1" w:color="2B579A"/>
        </w:pBdr>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1"/>
        <w:pBdr>
          <w:bottom w:val="single" w:sz="8" w:space="1" w:color="2B579A"/>
        </w:pBdr>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Pr>
      <w:r>
        <w:t>Chapter 2: Architecture</w:t>
      </w:r>
    </w:p>
    <w:p>
      <w:pPr>
        <w:pStyle w:val="Heading1"/>
        <w:pBdr>
          <w:bottom w:val="single" w:sz="8" w:space="1" w:color="2B579A"/>
        </w:pBdr>
      </w:pPr>
      <w:r>
        <w:t>2.1 System Overview</w:t>
      </w:r>
    </w:p>
    <w:p>
      <w:pPr>
        <w:spacing w:before="40" w:after="120"/>
      </w:pPr>
      <w:r>
        <w:rPr>
          <w:rFonts w:ascii="Calibri" w:hAnsi="Calibri"/>
          <w:color w:val="000000"/>
          <w:sz w:val="22"/>
        </w:rPr>
        <w:t>The GSD Engine is a PowerShell-based orchestration framework that coordinates three AI agents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1"/>
        <w:pBdr>
          <w:bottom w:val="single" w:sz="8" w:space="1" w:color="2B579A"/>
        </w:pBdr>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1"/>
        <w:pBdr>
          <w:bottom w:val="single" w:sz="8" w:space="1" w:color="2B579A"/>
        </w:pBdr>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2"/>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1"/>
        <w:pBdr>
          <w:bottom w:val="single" w:sz="8" w:space="1" w:color="2B579A"/>
        </w:pBdr>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2"/>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1"/>
        <w:pBdr>
          <w:bottom w:val="single" w:sz="8" w:space="1" w:color="2B579A"/>
        </w:pBdr>
      </w:pPr>
      <w:r>
        <w:t>2.5 Data Flow Diagrams</w:t>
      </w:r>
    </w:p>
    <w:p>
      <w:pPr>
        <w:pStyle w:val="Heading2"/>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2"/>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2"/>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1"/>
        <w:pBdr>
          <w:bottom w:val="single" w:sz="8" w:space="1" w:color="2B579A"/>
        </w:pBdr>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1"/>
        <w:pBdr>
          <w:bottom w:val="single" w:sz="8" w:space="1" w:color="2B579A"/>
        </w:pBdr>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Pr>
      <w:r>
        <w:t>Chapter 3: Installation</w:t>
      </w:r>
    </w:p>
    <w:p>
      <w:pPr>
        <w:pStyle w:val="Heading1"/>
        <w:pBdr>
          <w:bottom w:val="single" w:sz="8" w:space="1" w:color="2B579A"/>
        </w:pBdr>
      </w:pPr>
      <w:r>
        <w:t>3.1 Prerequisites</w:t>
      </w:r>
    </w:p>
    <w:p>
      <w:pPr>
        <w:pStyle w:val="Heading2"/>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2"/>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1"/>
        <w:pBdr>
          <w:bottom w:val="single" w:sz="8" w:space="1" w:color="2B579A"/>
        </w:pBdr>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1"/>
        <w:pBdr>
          <w:bottom w:val="single" w:sz="8" w:space="1" w:color="2B579A"/>
        </w:pBdr>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20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26 scripts total: 1 master installer, 1 pre-flight check, 20 scripts run by installer, and 4 standalone utilities.</w:t>
      </w:r>
    </w:p>
    <w:p>
      <w:pPr>
        <w:pStyle w:val="Heading1"/>
        <w:pBdr>
          <w:bottom w:val="single" w:sz="8" w:space="1" w:color="2B579A"/>
        </w:pBdr>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1"/>
        <w:pBdr>
          <w:bottom w:val="single" w:sz="8" w:space="1" w:color="2B579A"/>
        </w:pBdr>
      </w:pPr>
      <w:r>
        <w:t>3.5 VS Code Integration</w:t>
      </w:r>
    </w:p>
    <w:p>
      <w:pPr>
        <w:pStyle w:val="Heading2"/>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2"/>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1"/>
        <w:pBdr>
          <w:bottom w:val="single" w:sz="8" w:space="1" w:color="2B579A"/>
        </w:pBdr>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1"/>
        <w:pBdr>
          <w:bottom w:val="single" w:sz="8" w:space="1" w:color="2B579A"/>
        </w:pBdr>
      </w:pPr>
      <w:r>
        <w:t>3.7 Updating and Uninstalling</w:t>
      </w:r>
    </w:p>
    <w:p>
      <w:pPr>
        <w:pStyle w:val="Heading2"/>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2"/>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Pr>
      <w:r>
        <w:t>Chapter 4: Usage Guide</w:t>
      </w:r>
    </w:p>
    <w:p>
      <w:pPr>
        <w:pStyle w:val="Heading1"/>
        <w:pBdr>
          <w:bottom w:val="single" w:sz="8" w:space="1" w:color="2B579A"/>
        </w:pBdr>
      </w:pPr>
      <w:r>
        <w:t>4.1 First Project Setup</w:t>
      </w:r>
    </w:p>
    <w:p>
      <w:pPr>
        <w:pStyle w:val="Heading2"/>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2"/>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2"/>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1"/>
        <w:pBdr>
          <w:bottom w:val="single" w:sz="8" w:space="1" w:color="2B579A"/>
        </w:pBdr>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1"/>
        <w:pBdr>
          <w:bottom w:val="single" w:sz="8" w:space="1" w:color="2B579A"/>
        </w:pBdr>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1"/>
        <w:pBdr>
          <w:bottom w:val="single" w:sz="8" w:space="1" w:color="2B579A"/>
        </w:pBdr>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1"/>
        <w:pBdr>
          <w:bottom w:val="single" w:sz="8" w:space="1" w:color="2B579A"/>
        </w:pBdr>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1"/>
        <w:pBdr>
          <w:bottom w:val="single" w:sz="8" w:space="1" w:color="2B579A"/>
        </w:pBdr>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2"/>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1"/>
        <w:pBdr>
          <w:bottom w:val="single" w:sz="8" w:space="1" w:color="2B579A"/>
        </w:pBdr>
      </w:pPr>
      <w:r>
        <w:t>4.7 Monitoring a Running Pipeline</w:t>
      </w:r>
    </w:p>
    <w:p>
      <w:pPr>
        <w:pStyle w:val="Heading2"/>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2"/>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2"/>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2"/>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1"/>
        <w:pBdr>
          <w:bottom w:val="single" w:sz="8" w:space="1" w:color="2B579A"/>
        </w:pBdr>
      </w:pPr>
      <w:r>
        <w:t>4.8 Interrupting and Resuming</w:t>
      </w:r>
    </w:p>
    <w:p>
      <w:pPr>
        <w:pStyle w:val="Heading2"/>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2"/>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2"/>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Pr>
      <w:r>
        <w:t>Chapter 5: Resilience and Self-Healing</w:t>
      </w:r>
    </w:p>
    <w:p>
      <w:pPr>
        <w:pStyle w:val="Heading1"/>
        <w:pBdr>
          <w:bottom w:val="single" w:sz="8" w:space="1" w:color="2B579A"/>
        </w:pBdr>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1"/>
        <w:pBdr>
          <w:bottom w:val="single" w:sz="8" w:space="1" w:color="2B579A"/>
        </w:pBdr>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1"/>
        <w:pBdr>
          <w:bottom w:val="single" w:sz="8" w:space="1" w:color="2B579A"/>
        </w:pBdr>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1"/>
        <w:pBdr>
          <w:bottom w:val="single" w:sz="8" w:space="1" w:color="2B579A"/>
        </w:pBdr>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1"/>
        <w:pBdr>
          <w:bottom w:val="single" w:sz="8" w:space="1" w:color="2B579A"/>
        </w:pBdr>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1"/>
        <w:pBdr>
          <w:bottom w:val="single" w:sz="8" w:space="1" w:color="2B579A"/>
        </w:pBdr>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1"/>
        <w:pBdr>
          <w:bottom w:val="single" w:sz="8" w:space="1" w:color="2B579A"/>
        </w:pBdr>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1"/>
        <w:pBdr>
          <w:bottom w:val="single" w:sz="8" w:space="1" w:color="2B579A"/>
        </w:pBdr>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1"/>
        <w:pBdr>
          <w:bottom w:val="single" w:sz="8" w:space="1" w:color="2B579A"/>
        </w:pBdr>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1"/>
        <w:pBdr>
          <w:bottom w:val="single" w:sz="8" w:space="1" w:color="2B579A"/>
        </w:pBdr>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Pr>
      <w:r>
        <w:t>Chapter 6: Configuration Reference</w:t>
      </w:r>
    </w:p>
    <w:p>
      <w:pPr>
        <w:pStyle w:val="Heading1"/>
        <w:pBdr>
          <w:bottom w:val="single" w:sz="8" w:space="1" w:color="2B579A"/>
        </w:pBdr>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2"/>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2"/>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2"/>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2"/>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2"/>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1"/>
        <w:pBdr>
          <w:bottom w:val="single" w:sz="8" w:space="1" w:color="2B579A"/>
        </w:pBdr>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1"/>
        <w:pBdr>
          <w:bottom w:val="single" w:sz="8" w:space="1" w:color="2B579A"/>
        </w:pBdr>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1"/>
        <w:pBdr>
          <w:bottom w:val="single" w:sz="8" w:space="1" w:color="2B579A"/>
        </w:pBdr>
      </w:pPr>
      <w:r>
        <w:t>6.4 Per-Project State Files</w:t>
      </w:r>
    </w:p>
    <w:p>
      <w:pPr>
        <w:pStyle w:val="Heading2"/>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2"/>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2"/>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2"/>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1"/>
        <w:pBdr>
          <w:bottom w:val="single" w:sz="8" w:space="1" w:color="2B579A"/>
        </w:pBdr>
      </w:pPr>
      <w:r>
        <w:t>6.5 Environment Variables</w:t>
      </w:r>
    </w:p>
    <w:p>
      <w:pPr>
        <w:pStyle w:val="Heading2"/>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2"/>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1"/>
        <w:pBdr>
          <w:bottom w:val="single" w:sz="8" w:space="1" w:color="2B579A"/>
        </w:pBdr>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2"/>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bl>
    <w:p>
      <w:pPr>
        <w:spacing w:before="80" w:after="80"/>
      </w:pPr>
    </w:p>
    <w:p>
      <w:pPr>
        <w:pStyle w:val="Heading2"/>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Pr>
      <w:r>
        <w:t>Chapter 7: Multi-Interface Support</w:t>
      </w:r>
    </w:p>
    <w:p>
      <w:pPr>
        <w:pStyle w:val="Heading1"/>
        <w:pBdr>
          <w:bottom w:val="single" w:sz="8" w:space="1" w:color="2B579A"/>
        </w:pBdr>
      </w:pPr>
      <w:r>
        <w:t>7.1 Interface Types</w:t>
      </w:r>
    </w:p>
    <w:p>
      <w:pPr>
        <w:spacing w:before="40" w:after="120"/>
      </w:pPr>
      <w:r>
        <w:rPr>
          <w:rFonts w:ascii="Calibri" w:hAnsi="Calibri"/>
          <w:color w:val="000000"/>
          <w:sz w:val="22"/>
        </w:rPr>
        <w:t>The engine detects and supports five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Detection Pattern</w:t>
            </w:r>
          </w:p>
        </w:tc>
      </w:tr>
      <w:tr>
        <w:tc>
          <w:tcPr>
            <w:tcW w:type="dxa" w:w="2880"/>
          </w:tcPr>
          <w:p>
            <w:pPr>
              <w:spacing w:before="60" w:after="60"/>
            </w:pPr>
            <w:r/>
            <w:r>
              <w:rPr>
                <w:rFonts w:ascii="Consolas" w:hAnsi="Consolas"/>
                <w:color w:val="333333"/>
                <w:sz w:val="18"/>
                <w:shd w:fill="F2F2F2" w:val="clear"/>
              </w:rPr>
              <w:t>web</w:t>
            </w:r>
          </w:p>
        </w:tc>
        <w:tc>
          <w:tcPr>
            <w:tcW w:type="dxa" w:w="2880"/>
          </w:tcPr>
          <w:p>
            <w:pPr>
              <w:spacing w:before="60" w:after="60"/>
            </w:pPr>
            <w:r/>
            <w:r>
              <w:rPr>
                <w:rFonts w:ascii="Calibri" w:hAnsi="Calibri"/>
                <w:color w:val="000000"/>
                <w:sz w:val="19"/>
              </w:rPr>
              <w:t>Web application UI</w:t>
            </w:r>
          </w:p>
        </w:tc>
        <w:tc>
          <w:tcPr>
            <w:tcW w:type="dxa" w:w="2880"/>
          </w:tcPr>
          <w:p>
            <w:pPr>
              <w:spacing w:before="60" w:after="60"/>
            </w:pPr>
            <w:r/>
            <w:r>
              <w:rPr>
                <w:rFonts w:ascii="Consolas" w:hAnsi="Consolas"/>
                <w:color w:val="333333"/>
                <w:sz w:val="18"/>
                <w:shd w:fill="F2F2F2" w:val="clear"/>
              </w:rPr>
              <w:t>design/web/</w:t>
            </w:r>
            <w:r>
              <w:rPr>
                <w:rFonts w:ascii="Calibri" w:hAnsi="Calibri"/>
                <w:color w:val="000000"/>
                <w:sz w:val="19"/>
              </w:rPr>
              <w:t xml:space="preserve">, </w:t>
            </w:r>
            <w:r>
              <w:rPr>
                <w:rFonts w:ascii="Consolas" w:hAnsi="Consolas"/>
                <w:color w:val="333333"/>
                <w:sz w:val="18"/>
                <w:shd w:fill="F2F2F2" w:val="clear"/>
              </w:rPr>
              <w:t>design/figma/</w:t>
            </w:r>
          </w:p>
        </w:tc>
      </w:tr>
      <w:tr>
        <w:tc>
          <w:tcPr>
            <w:tcW w:type="dxa" w:w="2880"/>
            <w:shd w:fill="EDF2FA" w:val="clear"/>
          </w:tcPr>
          <w:p>
            <w:pPr>
              <w:spacing w:before="60" w:after="60"/>
            </w:pPr>
            <w:r/>
            <w:r>
              <w:rPr>
                <w:rFonts w:ascii="Consolas" w:hAnsi="Consolas"/>
                <w:color w:val="333333"/>
                <w:sz w:val="18"/>
                <w:shd w:fill="F2F2F2" w:val="clear"/>
              </w:rPr>
              <w:t>mcp</w:t>
            </w:r>
          </w:p>
        </w:tc>
        <w:tc>
          <w:tcPr>
            <w:tcW w:type="dxa" w:w="2880"/>
            <w:shd w:fill="EDF2FA" w:val="clear"/>
          </w:tcPr>
          <w:p>
            <w:pPr>
              <w:spacing w:before="60" w:after="60"/>
            </w:pPr>
            <w:r/>
            <w:r>
              <w:rPr>
                <w:rFonts w:ascii="Calibri" w:hAnsi="Calibri"/>
                <w:color w:val="000000"/>
                <w:sz w:val="19"/>
              </w:rPr>
              <w:t>Admin/management portal</w:t>
            </w:r>
          </w:p>
        </w:tc>
        <w:tc>
          <w:tcPr>
            <w:tcW w:type="dxa" w:w="2880"/>
            <w:shd w:fill="EDF2FA" w:val="clear"/>
          </w:tcPr>
          <w:p>
            <w:pPr>
              <w:spacing w:before="60" w:after="60"/>
            </w:pPr>
            <w:r/>
            <w:r>
              <w:rPr>
                <w:rFonts w:ascii="Consolas" w:hAnsi="Consolas"/>
                <w:color w:val="333333"/>
                <w:sz w:val="18"/>
                <w:shd w:fill="F2F2F2" w:val="clear"/>
              </w:rPr>
              <w:t>design/mcp/</w:t>
            </w:r>
          </w:p>
        </w:tc>
      </w:tr>
      <w:tr>
        <w:tc>
          <w:tcPr>
            <w:tcW w:type="dxa" w:w="2880"/>
          </w:tcPr>
          <w:p>
            <w:pPr>
              <w:spacing w:before="60" w:after="60"/>
            </w:pPr>
            <w:r/>
            <w:r>
              <w:rPr>
                <w:rFonts w:ascii="Consolas" w:hAnsi="Consolas"/>
                <w:color w:val="333333"/>
                <w:sz w:val="18"/>
                <w:shd w:fill="F2F2F2" w:val="clear"/>
              </w:rPr>
              <w:t>browser</w:t>
            </w:r>
          </w:p>
        </w:tc>
        <w:tc>
          <w:tcPr>
            <w:tcW w:type="dxa" w:w="2880"/>
          </w:tcPr>
          <w:p>
            <w:pPr>
              <w:spacing w:before="60" w:after="60"/>
            </w:pPr>
            <w:r/>
            <w:r>
              <w:rPr>
                <w:rFonts w:ascii="Calibri" w:hAnsi="Calibri"/>
                <w:color w:val="000000"/>
                <w:sz w:val="19"/>
              </w:rPr>
              <w:t>Browser extension</w:t>
            </w:r>
          </w:p>
        </w:tc>
        <w:tc>
          <w:tcPr>
            <w:tcW w:type="dxa" w:w="2880"/>
          </w:tcPr>
          <w:p>
            <w:pPr>
              <w:spacing w:before="60" w:after="60"/>
            </w:pPr>
            <w:r/>
            <w:r>
              <w:rPr>
                <w:rFonts w:ascii="Consolas" w:hAnsi="Consolas"/>
                <w:color w:val="333333"/>
                <w:sz w:val="18"/>
                <w:shd w:fill="F2F2F2" w:val="clear"/>
              </w:rPr>
              <w:t>design/browser/</w:t>
            </w:r>
          </w:p>
        </w:tc>
      </w:tr>
      <w:tr>
        <w:tc>
          <w:tcPr>
            <w:tcW w:type="dxa" w:w="2880"/>
            <w:shd w:fill="EDF2FA" w:val="clear"/>
          </w:tcPr>
          <w:p>
            <w:pPr>
              <w:spacing w:before="60" w:after="60"/>
            </w:pPr>
            <w:r/>
            <w:r>
              <w:rPr>
                <w:rFonts w:ascii="Consolas" w:hAnsi="Consolas"/>
                <w:color w:val="333333"/>
                <w:sz w:val="18"/>
                <w:shd w:fill="F2F2F2" w:val="clear"/>
              </w:rPr>
              <w:t>mobile</w:t>
            </w:r>
          </w:p>
        </w:tc>
        <w:tc>
          <w:tcPr>
            <w:tcW w:type="dxa" w:w="2880"/>
            <w:shd w:fill="EDF2FA" w:val="clear"/>
          </w:tcPr>
          <w:p>
            <w:pPr>
              <w:spacing w:before="60" w:after="60"/>
            </w:pPr>
            <w:r/>
            <w:r>
              <w:rPr>
                <w:rFonts w:ascii="Calibri" w:hAnsi="Calibri"/>
                <w:color w:val="000000"/>
                <w:sz w:val="19"/>
              </w:rPr>
              <w:t>iOS/Android mobile app</w:t>
            </w:r>
          </w:p>
        </w:tc>
        <w:tc>
          <w:tcPr>
            <w:tcW w:type="dxa" w:w="2880"/>
            <w:shd w:fill="EDF2FA" w:val="clear"/>
          </w:tcPr>
          <w:p>
            <w:pPr>
              <w:spacing w:before="60" w:after="60"/>
            </w:pPr>
            <w:r/>
            <w:r>
              <w:rPr>
                <w:rFonts w:ascii="Consolas" w:hAnsi="Consolas"/>
                <w:color w:val="333333"/>
                <w:sz w:val="18"/>
                <w:shd w:fill="F2F2F2" w:val="clear"/>
              </w:rPr>
              <w:t>design/mobile/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Background agent/service</w:t>
            </w:r>
          </w:p>
        </w:tc>
        <w:tc>
          <w:tcPr>
            <w:tcW w:type="dxa" w:w="2880"/>
          </w:tcPr>
          <w:p>
            <w:pPr>
              <w:spacing w:before="60" w:after="60"/>
            </w:pPr>
            <w:r/>
            <w:r>
              <w:rPr>
                <w:rFonts w:ascii="Consolas" w:hAnsi="Consolas"/>
                <w:color w:val="333333"/>
                <w:sz w:val="18"/>
                <w:shd w:fill="F2F2F2" w:val="clear"/>
              </w:rPr>
              <w:t>design/agent/</w:t>
            </w:r>
          </w:p>
        </w:tc>
      </w:tr>
    </w:tbl>
    <w:p>
      <w:pPr>
        <w:spacing w:before="80" w:after="80"/>
      </w:pPr>
    </w:p>
    <w:p>
      <w:pPr>
        <w:pStyle w:val="Heading1"/>
        <w:pBdr>
          <w:bottom w:val="single" w:sz="8" w:space="1" w:color="2B579A"/>
        </w:pBdr>
      </w:pPr>
      <w:r>
        <w:t>7.2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1"/>
        <w:pBdr>
          <w:bottom w:val="single" w:sz="8" w:space="1" w:color="2B579A"/>
        </w:pBdr>
      </w:pPr>
      <w:r>
        <w:t>7.3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1"/>
        <w:pBdr>
          <w:bottom w:val="single" w:sz="8" w:space="1" w:color="2B579A"/>
        </w:pBdr>
      </w:pPr>
      <w:r>
        <w:t>7.4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1"/>
      </w:pPr>
      <w:r>
        <w:t>Chapter 8: Script Reference</w:t>
      </w:r>
    </w:p>
    <w:p>
      <w:pPr>
        <w:pStyle w:val="Heading1"/>
        <w:pBdr>
          <w:bottom w:val="single" w:sz="8" w:space="1" w:color="2B579A"/>
        </w:pBdr>
      </w:pPr>
      <w:r>
        <w:t>8.1 User Commands</w:t>
      </w:r>
    </w:p>
    <w:p>
      <w:pPr>
        <w:pStyle w:val="Heading2"/>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2"/>
      </w:pPr>
      <w:r>
        <w:t>gsd-converge</w:t>
      </w:r>
    </w:p>
    <w:p>
      <w:pPr>
        <w:spacing w:before="40" w:after="120"/>
      </w:pPr>
      <w:r>
        <w:rPr>
          <w:rFonts w:ascii="Calibri" w:hAnsi="Calibri"/>
          <w:color w:val="000000"/>
          <w:sz w:val="22"/>
        </w:rPr>
        <w:t>5-phase convergence loop. See Section 4.3 for full parameter reference.</w:t>
      </w:r>
    </w:p>
    <w:p>
      <w:pPr>
        <w:pStyle w:val="Heading2"/>
      </w:pPr>
      <w:r>
        <w:t>gsd-blueprint</w:t>
      </w:r>
    </w:p>
    <w:p>
      <w:pPr>
        <w:spacing w:before="40" w:after="120"/>
      </w:pPr>
      <w:r>
        <w:rPr>
          <w:rFonts w:ascii="Calibri" w:hAnsi="Calibri"/>
          <w:color w:val="000000"/>
          <w:sz w:val="22"/>
        </w:rPr>
        <w:t>3-phase blueprint pipeline. See Section 4.4 for full parameter reference.</w:t>
      </w:r>
    </w:p>
    <w:p>
      <w:pPr>
        <w:pStyle w:val="Heading2"/>
      </w:pPr>
      <w:r>
        <w:t>gsd-status</w:t>
      </w:r>
    </w:p>
    <w:p>
      <w:pPr>
        <w:spacing w:before="40" w:after="120"/>
      </w:pPr>
      <w:r>
        <w:rPr>
          <w:rFonts w:ascii="Calibri" w:hAnsi="Calibri"/>
          <w:color w:val="000000"/>
          <w:sz w:val="22"/>
        </w:rPr>
        <w:t>Health dashboard showing current score, iteration, phase, requirement breakdown, and costs.</w:t>
      </w:r>
    </w:p>
    <w:p>
      <w:pPr>
        <w:pStyle w:val="Heading2"/>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2"/>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2"/>
      </w:pPr>
      <w:r>
        <w:t>gsd-remote</w:t>
      </w:r>
    </w:p>
    <w:p>
      <w:pPr>
        <w:spacing w:before="40" w:after="120"/>
      </w:pPr>
      <w:r>
        <w:rPr>
          <w:rFonts w:ascii="Calibri" w:hAnsi="Calibri"/>
          <w:color w:val="000000"/>
          <w:sz w:val="22"/>
        </w:rPr>
        <w:t>Launches remote monitoring server and displays a QR code for phone access.</w:t>
      </w:r>
    </w:p>
    <w:p>
      <w:pPr>
        <w:pStyle w:val="Heading1"/>
        <w:pBdr>
          <w:bottom w:val="single" w:sz="8" w:space="1" w:color="2B579A"/>
        </w:pBdr>
      </w:pPr>
      <w:r>
        <w:t>8.2 Installation Scripts</w:t>
      </w:r>
    </w:p>
    <w:p>
      <w:pPr>
        <w:pStyle w:val="Heading2"/>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2"/>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2"/>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2"/>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2"/>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2"/>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2"/>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2"/>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2"/>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2"/>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2"/>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2"/>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2"/>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2"/>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2"/>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2"/>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2"/>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2"/>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2"/>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2"/>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2"/>
      </w:pPr>
      <w:r>
        <w:t>patch-gsd-resilience-hardening.ps1</w:t>
      </w:r>
    </w:p>
    <w:p>
      <w:pPr>
        <w:spacing w:before="40" w:after="120"/>
      </w:pPr>
      <w:r>
        <w:rPr>
          <w:rFonts w:ascii="Calibri" w:hAnsi="Calibri"/>
          <w:color w:val="000000"/>
          <w:sz w:val="22"/>
        </w:rPr>
        <w:t>Token tracking on all attempts, auth detection fix (403 is rate limit not auth), cumulative quota cap (120 min), agent rotation after 3 consecutive failures.</w:t>
      </w:r>
    </w:p>
    <w:p>
      <w:pPr>
        <w:pStyle w:val="Heading2"/>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1"/>
        <w:pBdr>
          <w:bottom w:val="single" w:sz="8" w:space="1" w:color="2B579A"/>
        </w:pBdr>
      </w:pPr>
      <w:r>
        <w:t>8.3 Standalone Utilities</w:t>
      </w:r>
    </w:p>
    <w:p>
      <w:pPr>
        <w:pStyle w:val="Heading2"/>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2"/>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2"/>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2"/>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1"/>
        <w:pBdr>
          <w:bottom w:val="single" w:sz="8" w:space="1" w:color="2B579A"/>
        </w:pBdr>
      </w:pPr>
      <w:r>
        <w:t>8.4 Key Internal Functions</w:t>
      </w:r>
    </w:p>
    <w:p>
      <w:pPr>
        <w:pStyle w:val="Heading2"/>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2"/>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2"/>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2"/>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2"/>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2"/>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2"/>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2"/>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2"/>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2"/>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2"/>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2"/>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interface types. Returns array of interface objects with type, path, version, and available deliverables.</w:t>
      </w:r>
    </w:p>
    <w:p>
      <w:pPr>
        <w:pStyle w:val="Heading2"/>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2"/>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Pr>
      <w:r>
        <w:t>Chapter 9: Troubleshooting</w:t>
      </w:r>
    </w:p>
    <w:p>
      <w:pPr>
        <w:pStyle w:val="Heading1"/>
        <w:pBdr>
          <w:bottom w:val="single" w:sz="8" w:space="1" w:color="2B579A"/>
        </w:pBdr>
      </w:pPr>
      <w:r>
        <w:t>9.1 Installation Issues</w:t>
      </w:r>
    </w:p>
    <w:p>
      <w:pPr>
        <w:pStyle w:val="Heading2"/>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2"/>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2"/>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2"/>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2"/>
      </w:pPr>
      <w:r>
        <w:t>Install script fails partway through</w:t>
      </w:r>
    </w:p>
    <w:p>
      <w:pPr>
        <w:spacing w:before="40" w:after="120"/>
      </w:pPr>
      <w:r>
        <w:rPr>
          <w:rFonts w:ascii="Calibri" w:hAnsi="Calibri"/>
          <w:color w:val="000000"/>
          <w:sz w:val="22"/>
        </w:rPr>
        <w:t>The installer is idempotent. Re-run to pick up where it left off.</w:t>
      </w:r>
    </w:p>
    <w:p>
      <w:pPr>
        <w:pStyle w:val="Heading1"/>
        <w:pBdr>
          <w:bottom w:val="single" w:sz="8" w:space="1" w:color="2B579A"/>
        </w:pBdr>
      </w:pPr>
      <w:r>
        <w:t>9.2 Runtime Issues</w:t>
      </w:r>
    </w:p>
    <w:p>
      <w:pPr>
        <w:pStyle w:val="Heading2"/>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2"/>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3 consecutive failures: agent rotation</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2"/>
      </w:pPr>
      <w:r>
        <w:t>Network unavailable</w:t>
      </w:r>
    </w:p>
    <w:p>
      <w:pPr>
        <w:spacing w:before="40" w:after="120"/>
      </w:pPr>
      <w:r>
        <w:rPr>
          <w:rFonts w:ascii="Calibri" w:hAnsi="Calibri"/>
          <w:color w:val="000000"/>
          <w:sz w:val="22"/>
        </w:rPr>
        <w:t>The engine polls every 30 seconds and resumes when connectivity returns.</w:t>
      </w:r>
    </w:p>
    <w:p>
      <w:pPr>
        <w:pStyle w:val="Heading2"/>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2"/>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1"/>
        <w:pBdr>
          <w:bottom w:val="single" w:sz="8" w:space="1" w:color="2B579A"/>
        </w:pBdr>
      </w:pPr>
      <w:r>
        <w:t>9.3 Agent-Specific Issues</w:t>
      </w:r>
    </w:p>
    <w:p>
      <w:pPr>
        <w:pStyle w:val="Heading2"/>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2"/>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2"/>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1"/>
        <w:pBdr>
          <w:bottom w:val="single" w:sz="8" w:space="1" w:color="2B579A"/>
        </w:pBdr>
      </w:pPr>
      <w:r>
        <w:t>9.4 Spec Consistency Conflicts</w:t>
      </w:r>
    </w:p>
    <w:p>
      <w:pPr>
        <w:pStyle w:val="Heading2"/>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2"/>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2"/>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1"/>
        <w:pBdr>
          <w:bottom w:val="single" w:sz="8" w:space="1" w:color="2B579A"/>
        </w:pBdr>
      </w:pPr>
      <w:r>
        <w:t>9.5 Quality Gate Issues</w:t>
      </w:r>
    </w:p>
    <w:p>
      <w:pPr>
        <w:pStyle w:val="Heading2"/>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2"/>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2"/>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2"/>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1"/>
        <w:pBdr>
          <w:bottom w:val="single" w:sz="8" w:space="1" w:color="2B579A"/>
        </w:pBdr>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Pr>
      <w:r>
        <w:t>Chapter 10: Cost Management</w:t>
      </w:r>
    </w:p>
    <w:p>
      <w:pPr>
        <w:pStyle w:val="Heading1"/>
        <w:pBdr>
          <w:bottom w:val="single" w:sz="8" w:space="1" w:color="2B579A"/>
        </w:pBdr>
      </w:pPr>
      <w:r>
        <w:t>10.1 Token Budget Per Iteration</w:t>
      </w:r>
    </w:p>
    <w:p>
      <w:pPr>
        <w:pStyle w:val="Heading2"/>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2"/>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1"/>
        <w:pBdr>
          <w:bottom w:val="single" w:sz="8" w:space="1" w:color="2B579A"/>
        </w:pBdr>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2"/>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1"/>
        <w:pBdr>
          <w:bottom w:val="single" w:sz="8" w:space="1" w:color="2B579A"/>
        </w:pBdr>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1"/>
        <w:pBdr>
          <w:bottom w:val="single" w:sz="8" w:space="1" w:color="2B579A"/>
        </w:pBdr>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2"/>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2"/>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Coding Standards &amp; Methodologies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2"/>
      </w:pPr>
      <w:r>
        <w:t>11.1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2"/>
      </w:pPr>
      <w:r>
        <w:t>11.2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2"/>
      </w:pPr>
      <w:r>
        <w:t>11.3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3"/>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3"/>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3"/>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3"/>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2"/>
      </w:pPr>
      <w:r>
        <w:t>11.4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2"/>
      </w:pPr>
      <w:r>
        <w:t>11.5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3"/>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3"/>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2"/>
      </w:pPr>
      <w:r>
        <w:t>11.6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2"/>
      </w:pPr>
      <w:r>
        <w:t>11.7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1"/>
        <w:pBdr>
          <w:bottom w:val="single" w:sz="8" w:space="1" w:color="2B579A"/>
        </w:pBdr>
      </w:pPr>
      <w:r>
        <w:t>Chapter 12: Database Coding Standards</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2"/>
      </w:pPr>
      <w:r>
        <w:t>12.1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2"/>
      </w:pPr>
      <w:r>
        <w:t>12.2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2"/>
      </w:pPr>
      <w:r>
        <w:t>12.3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2"/>
      </w:pPr>
      <w:r>
        <w:t>12.4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2"/>
      </w:pPr>
      <w:r>
        <w:t>12.5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2"/>
      </w:pPr>
      <w:r>
        <w:t>12.6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2"/>
      </w:pPr>
      <w:r>
        <w:t>12.7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2"/>
      </w:pPr>
      <w:r>
        <w:t>12.8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w:t>
            </w:r>
            <w:r>
              <w:rPr>
                <w:rFonts w:ascii="Calibri" w:hAnsi="Calibri"/>
                <w:color w:val="000000"/>
                <w:sz w:val="19"/>
              </w:rPr>
              <w:t>*SELECT\</w:t>
            </w:r>
          </w:p>
        </w:tc>
        <w:tc>
          <w:tcPr>
            <w:tcW w:type="dxa" w:w="2880"/>
          </w:tcPr>
          <w:p>
            <w:pPr>
              <w:spacing w:before="60" w:after="60"/>
            </w:pPr>
            <w:r/>
            <w:r>
              <w:rPr>
                <w:rFonts w:ascii="Calibri" w:hAnsi="Calibri"/>
                <w:color w:val="000000"/>
                <w:sz w:val="19"/>
              </w:rPr>
              <w:t>'+.</w:t>
            </w:r>
            <w:r>
              <w:rPr>
                <w:rFonts w:ascii="Calibri" w:hAnsi="Calibri"/>
                <w:color w:val="000000"/>
                <w:sz w:val="19"/>
              </w:rPr>
              <w:t>*INSERT\</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1"/>
        <w:pBdr>
          <w:bottom w:val="single" w:sz="8" w:space="1" w:color="2B579A"/>
        </w:pBdr>
      </w:pPr>
      <w:r>
        <w:t>Chapter 13: Compliance &amp; Security Coding</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2"/>
      </w:pPr>
      <w:r>
        <w:t>13.1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2"/>
      </w:pPr>
      <w:r>
        <w:t>13.2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3"/>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3"/>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3"/>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2"/>
      </w:pPr>
      <w:r>
        <w:t>13.3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3"/>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3"/>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3"/>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13.4 Security Coding Patterns by Layer</w:t>
      </w:r>
    </w:p>
    <w:p>
      <w:pPr>
        <w:pStyle w:val="Heading3"/>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2"/>
      </w:pPr>
      <w:r>
        <w:t>13.5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2"/>
      </w:pPr>
      <w:r>
        <w:t>13.6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1"/>
        <w:pBdr>
          <w:bottom w:val="single" w:sz="8" w:space="1" w:color="2B579A"/>
        </w:pBdr>
      </w:pPr>
      <w:r>
        <w:t>Appendices</w:t>
      </w:r>
    </w:p>
    <w:p>
      <w:pPr>
        <w:pStyle w:val="Heading1"/>
      </w:pPr>
      <w:r>
        <w:t>Chapter 12: Quality Gates</w:t>
      </w:r>
    </w:p>
    <w:p>
      <w:pPr>
        <w:pStyle w:val="Heading1"/>
        <w:pBdr>
          <w:bottom w:val="single" w:sz="8" w:space="1" w:color="2B579A"/>
        </w:pBdr>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1"/>
        <w:pBdr>
          <w:bottom w:val="single" w:sz="8" w:space="1" w:color="2B579A"/>
        </w:pBdr>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1"/>
        <w:pBdr>
          <w:bottom w:val="single" w:sz="8" w:space="1" w:color="2B579A"/>
        </w:pBdr>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2"/>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2"/>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1"/>
        <w:pBdr>
          <w:bottom w:val="single" w:sz="8" w:space="1" w:color="2B579A"/>
        </w:pBdr>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1"/>
        <w:pBdr>
          <w:bottom w:val="single" w:sz="8" w:space="1" w:color="2B579A"/>
        </w:pBdr>
      </w:pPr>
      <w:r>
        <w:t>11.5 Security Standards Reference</w:t>
      </w:r>
    </w:p>
    <w:p>
      <w:pPr>
        <w:spacing w:before="40" w:after="120"/>
      </w:pPr>
      <w:r>
        <w:rPr>
          <w:rFonts w:ascii="Calibri" w:hAnsi="Calibri"/>
          <w:color w:val="000000"/>
          <w:sz w:val="22"/>
        </w:rPr>
        <w:t>The engine enforces 88+ security rules organized by layer:</w:t>
      </w:r>
    </w:p>
    <w:p>
      <w:pPr>
        <w:pStyle w:val="Heading2"/>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2"/>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2"/>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2"/>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1"/>
        <w:pBdr>
          <w:bottom w:val="single" w:sz="8" w:space="1" w:color="2B579A"/>
        </w:pBdr>
      </w:pPr>
      <w:r>
        <w:t>11.6 Coding Conventions</w:t>
      </w:r>
    </w:p>
    <w:p>
      <w:pPr>
        <w:spacing w:before="40" w:after="120"/>
      </w:pPr>
      <w:r>
        <w:rPr>
          <w:rFonts w:ascii="Calibri" w:hAnsi="Calibri"/>
          <w:color w:val="000000"/>
          <w:sz w:val="22"/>
        </w:rPr>
        <w:t>Enforced via agent prompts:</w:t>
      </w:r>
    </w:p>
    <w:p>
      <w:pPr>
        <w:pStyle w:val="Heading2"/>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2"/>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2"/>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Pr>
      <w:r>
        <w:t>Appendices</w:t>
      </w:r>
    </w:p>
    <w:p>
      <w:pPr>
        <w:pStyle w:val="Heading1"/>
        <w:pBdr>
          <w:bottom w:val="single" w:sz="8" w:space="1" w:color="2B579A"/>
        </w:pBdr>
      </w:pPr>
      <w:r>
        <w:t>Appendix A: Complete File Inventory</w:t>
      </w:r>
    </w:p>
    <w:p>
      <w:pPr>
        <w:pStyle w:val="Heading2"/>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lib/modules/resilience.ps1</w:t>
            </w:r>
          </w:p>
        </w:tc>
        <w:tc>
          <w:tcPr>
            <w:tcW w:type="dxa" w:w="4320"/>
            <w:shd w:fill="EDF2FA" w:val="clear"/>
          </w:tcPr>
          <w:p>
            <w:pPr>
              <w:spacing w:before="60" w:after="60"/>
            </w:pPr>
            <w:r/>
            <w:r>
              <w:rPr>
                <w:rFonts w:ascii="Calibri" w:hAnsi="Calibri"/>
                <w:color w:val="000000"/>
                <w:sz w:val="19"/>
              </w:rPr>
              <w:t>Core resilience module (~2000+ lines)</w:t>
            </w:r>
          </w:p>
        </w:tc>
      </w:tr>
      <w:tr>
        <w:tc>
          <w:tcPr>
            <w:tcW w:type="dxa" w:w="4320"/>
          </w:tcPr>
          <w:p>
            <w:pPr>
              <w:spacing w:before="60" w:after="60"/>
            </w:pPr>
            <w:r/>
            <w:r>
              <w:rPr>
                <w:rFonts w:ascii="Consolas" w:hAnsi="Consolas"/>
                <w:color w:val="333333"/>
                <w:sz w:val="18"/>
                <w:shd w:fill="F2F2F2" w:val="clear"/>
              </w:rPr>
              <w:t>lib/modules/interfaces.ps1</w:t>
            </w:r>
          </w:p>
        </w:tc>
        <w:tc>
          <w:tcPr>
            <w:tcW w:type="dxa" w:w="4320"/>
          </w:tcPr>
          <w:p>
            <w:pPr>
              <w:spacing w:before="60" w:after="60"/>
            </w:pPr>
            <w:r/>
            <w:r>
              <w:rPr>
                <w:rFonts w:ascii="Calibri" w:hAnsi="Calibri"/>
                <w:color w:val="000000"/>
                <w:sz w:val="19"/>
              </w:rPr>
              <w:t>Multi-interface detection</w:t>
            </w:r>
          </w:p>
        </w:tc>
      </w:tr>
      <w:tr>
        <w:tc>
          <w:tcPr>
            <w:tcW w:type="dxa" w:w="4320"/>
            <w:shd w:fill="EDF2FA" w:val="clear"/>
          </w:tcPr>
          <w:p>
            <w:pPr>
              <w:spacing w:before="60" w:after="60"/>
            </w:pPr>
            <w:r/>
            <w:r>
              <w:rPr>
                <w:rFonts w:ascii="Consolas" w:hAnsi="Consolas"/>
                <w:color w:val="333333"/>
                <w:sz w:val="18"/>
                <w:shd w:fill="F2F2F2" w:val="clear"/>
              </w:rPr>
              <w:t>lib/modules/interface-wrapper.ps1</w:t>
            </w:r>
          </w:p>
        </w:tc>
        <w:tc>
          <w:tcPr>
            <w:tcW w:type="dxa" w:w="4320"/>
            <w:shd w:fill="EDF2FA" w:val="clear"/>
          </w:tcPr>
          <w:p>
            <w:pPr>
              <w:spacing w:before="60" w:after="60"/>
            </w:pPr>
            <w:r/>
            <w:r>
              <w:rPr>
                <w:rFonts w:ascii="Calibri" w:hAnsi="Calibri"/>
                <w:color w:val="000000"/>
                <w:sz w:val="19"/>
              </w:rPr>
              <w:t>Agent prompt context builder</w:t>
            </w:r>
          </w:p>
        </w:tc>
      </w:tr>
      <w:tr>
        <w:tc>
          <w:tcPr>
            <w:tcW w:type="dxa" w:w="4320"/>
          </w:tcPr>
          <w:p>
            <w:pPr>
              <w:spacing w:before="60" w:after="60"/>
            </w:pPr>
            <w:r/>
            <w:r>
              <w:rPr>
                <w:rFonts w:ascii="Consolas" w:hAnsi="Consolas"/>
                <w:color w:val="333333"/>
                <w:sz w:val="18"/>
                <w:shd w:fill="F2F2F2" w:val="clear"/>
              </w:rPr>
              <w:t>scripts/convergence-loop.ps1</w:t>
            </w:r>
          </w:p>
        </w:tc>
        <w:tc>
          <w:tcPr>
            <w:tcW w:type="dxa" w:w="4320"/>
          </w:tcPr>
          <w:p>
            <w:pPr>
              <w:spacing w:before="60" w:after="60"/>
            </w:pPr>
            <w:r/>
            <w:r>
              <w:rPr>
                <w:rFonts w:ascii="Calibri" w:hAnsi="Calibri"/>
                <w:color w:val="000000"/>
                <w:sz w:val="19"/>
              </w:rPr>
              <w:t>5-phase convergence engine</w:t>
            </w:r>
          </w:p>
        </w:tc>
      </w:tr>
      <w:tr>
        <w:tc>
          <w:tcPr>
            <w:tcW w:type="dxa" w:w="4320"/>
            <w:shd w:fill="EDF2FA" w:val="clear"/>
          </w:tcPr>
          <w:p>
            <w:pPr>
              <w:spacing w:before="60" w:after="60"/>
            </w:pPr>
            <w:r/>
            <w:r>
              <w:rPr>
                <w:rFonts w:ascii="Consolas" w:hAnsi="Consolas"/>
                <w:color w:val="333333"/>
                <w:sz w:val="18"/>
                <w:shd w:fill="F2F2F2" w:val="clear"/>
              </w:rPr>
              <w:t>scripts/supervisor-converge.ps1</w:t>
            </w:r>
          </w:p>
        </w:tc>
        <w:tc>
          <w:tcPr>
            <w:tcW w:type="dxa" w:w="4320"/>
            <w:shd w:fill="EDF2FA" w:val="clear"/>
          </w:tcPr>
          <w:p>
            <w:pPr>
              <w:spacing w:before="60" w:after="60"/>
            </w:pPr>
            <w:r/>
            <w:r>
              <w:rPr>
                <w:rFonts w:ascii="Calibri" w:hAnsi="Calibri"/>
                <w:color w:val="000000"/>
                <w:sz w:val="19"/>
              </w:rPr>
              <w:t>Supervisor wrapper for convergence</w:t>
            </w:r>
          </w:p>
        </w:tc>
      </w:tr>
      <w:tr>
        <w:tc>
          <w:tcPr>
            <w:tcW w:type="dxa" w:w="4320"/>
          </w:tcPr>
          <w:p>
            <w:pPr>
              <w:spacing w:before="60" w:after="60"/>
            </w:pPr>
            <w:r/>
            <w:r>
              <w:rPr>
                <w:rFonts w:ascii="Consolas" w:hAnsi="Consolas"/>
                <w:color w:val="333333"/>
                <w:sz w:val="18"/>
                <w:shd w:fill="F2F2F2" w:val="clear"/>
              </w:rPr>
              <w:t>scripts/gsd-profile-functions.ps1</w:t>
            </w:r>
          </w:p>
        </w:tc>
        <w:tc>
          <w:tcPr>
            <w:tcW w:type="dxa" w:w="4320"/>
          </w:tcPr>
          <w:p>
            <w:pPr>
              <w:spacing w:before="60" w:after="60"/>
            </w:pPr>
            <w:r/>
            <w:r>
              <w:rPr>
                <w:rFonts w:ascii="Calibri" w:hAnsi="Calibri"/>
                <w:color w:val="000000"/>
                <w:sz w:val="19"/>
              </w:rPr>
              <w:t>PowerShell profile functions</w:t>
            </w:r>
          </w:p>
        </w:tc>
      </w:tr>
      <w:tr>
        <w:tc>
          <w:tcPr>
            <w:tcW w:type="dxa" w:w="4320"/>
            <w:shd w:fill="EDF2FA" w:val="clear"/>
          </w:tcPr>
          <w:p>
            <w:pPr>
              <w:spacing w:before="60" w:after="60"/>
            </w:pPr>
            <w:r/>
            <w:r>
              <w:rPr>
                <w:rFonts w:ascii="Consolas" w:hAnsi="Consolas"/>
                <w:color w:val="333333"/>
                <w:sz w:val="18"/>
                <w:shd w:fill="F2F2F2" w:val="clear"/>
              </w:rPr>
              <w:t>scripts/token-cost-calculator.ps1</w:t>
            </w:r>
          </w:p>
        </w:tc>
        <w:tc>
          <w:tcPr>
            <w:tcW w:type="dxa" w:w="4320"/>
            <w:shd w:fill="EDF2FA" w:val="clear"/>
          </w:tcPr>
          <w:p>
            <w:pPr>
              <w:spacing w:before="60" w:after="60"/>
            </w:pPr>
            <w:r/>
            <w:r>
              <w:rPr>
                <w:rFonts w:ascii="Calibri" w:hAnsi="Calibri"/>
                <w:color w:val="000000"/>
                <w:sz w:val="19"/>
              </w:rPr>
              <w:t>Token cost estimator</w:t>
            </w:r>
          </w:p>
        </w:tc>
      </w:tr>
      <w:tr>
        <w:tc>
          <w:tcPr>
            <w:tcW w:type="dxa" w:w="4320"/>
          </w:tcPr>
          <w:p>
            <w:pPr>
              <w:spacing w:before="60" w:after="60"/>
            </w:pPr>
            <w:r/>
            <w:r>
              <w:rPr>
                <w:rFonts w:ascii="Consolas" w:hAnsi="Consolas"/>
                <w:color w:val="333333"/>
                <w:sz w:val="18"/>
                <w:shd w:fill="F2F2F2" w:val="clear"/>
              </w:rPr>
              <w:t>blueprint/scripts/blueprint-pipeline.ps1</w:t>
            </w:r>
          </w:p>
        </w:tc>
        <w:tc>
          <w:tcPr>
            <w:tcW w:type="dxa" w:w="4320"/>
          </w:tcPr>
          <w:p>
            <w:pPr>
              <w:spacing w:before="60" w:after="60"/>
            </w:pPr>
            <w:r/>
            <w:r>
              <w:rPr>
                <w:rFonts w:ascii="Calibri" w:hAnsi="Calibri"/>
                <w:color w:val="000000"/>
                <w:sz w:val="19"/>
              </w:rPr>
              <w:t>Blueprint generation + build loop</w:t>
            </w:r>
          </w:p>
        </w:tc>
      </w:tr>
      <w:tr>
        <w:tc>
          <w:tcPr>
            <w:tcW w:type="dxa" w:w="4320"/>
            <w:shd w:fill="EDF2FA" w:val="clear"/>
          </w:tcPr>
          <w:p>
            <w:pPr>
              <w:spacing w:before="60" w:after="60"/>
            </w:pPr>
            <w:r/>
            <w:r>
              <w:rPr>
                <w:rFonts w:ascii="Consolas" w:hAnsi="Consolas"/>
                <w:color w:val="333333"/>
                <w:sz w:val="18"/>
                <w:shd w:fill="F2F2F2" w:val="clear"/>
              </w:rPr>
              <w:t>blueprint/scripts/supervisor-blueprint.ps1</w:t>
            </w:r>
          </w:p>
        </w:tc>
        <w:tc>
          <w:tcPr>
            <w:tcW w:type="dxa" w:w="4320"/>
            <w:shd w:fill="EDF2FA" w:val="clear"/>
          </w:tcPr>
          <w:p>
            <w:pPr>
              <w:spacing w:before="60" w:after="60"/>
            </w:pPr>
            <w:r/>
            <w:r>
              <w:rPr>
                <w:rFonts w:ascii="Calibri" w:hAnsi="Calibri"/>
                <w:color w:val="000000"/>
                <w:sz w:val="19"/>
              </w:rPr>
              <w:t>Supervisor wrapper for blueprint</w:t>
            </w:r>
          </w:p>
        </w:tc>
      </w:tr>
      <w:tr>
        <w:tc>
          <w:tcPr>
            <w:tcW w:type="dxa" w:w="4320"/>
          </w:tcPr>
          <w:p>
            <w:pPr>
              <w:spacing w:before="60" w:after="60"/>
            </w:pPr>
            <w:r/>
            <w:r>
              <w:rPr>
                <w:rFonts w:ascii="Consolas" w:hAnsi="Consolas"/>
                <w:color w:val="333333"/>
                <w:sz w:val="18"/>
                <w:shd w:fill="F2F2F2" w:val="clear"/>
              </w:rPr>
              <w:t>blueprint/scripts/assess.ps1</w:t>
            </w:r>
          </w:p>
        </w:tc>
        <w:tc>
          <w:tcPr>
            <w:tcW w:type="dxa" w:w="4320"/>
          </w:tcPr>
          <w:p>
            <w:pPr>
              <w:spacing w:before="60" w:after="60"/>
            </w:pPr>
            <w:r/>
            <w:r>
              <w:rPr>
                <w:rFonts w:ascii="Calibri" w:hAnsi="Calibri"/>
                <w:color w:val="000000"/>
                <w:sz w:val="19"/>
              </w:rPr>
              <w:t>Assessment script</w:t>
            </w:r>
          </w:p>
        </w:tc>
      </w:tr>
      <w:tr>
        <w:tc>
          <w:tcPr>
            <w:tcW w:type="dxa" w:w="4320"/>
            <w:shd w:fill="EDF2FA" w:val="clear"/>
          </w:tcPr>
          <w:p>
            <w:pPr>
              <w:spacing w:before="60" w:after="60"/>
            </w:pPr>
            <w:r/>
            <w:r>
              <w:rPr>
                <w:rFonts w:ascii="Consolas" w:hAnsi="Consolas"/>
                <w:color w:val="333333"/>
                <w:sz w:val="18"/>
                <w:shd w:fill="F2F2F2" w:val="clear"/>
              </w:rPr>
              <w:t>blueprint/prompts/codex/build.md</w:t>
            </w:r>
          </w:p>
        </w:tc>
        <w:tc>
          <w:tcPr>
            <w:tcW w:type="dxa" w:w="4320"/>
            <w:shd w:fill="EDF2FA" w:val="clear"/>
          </w:tcPr>
          <w:p>
            <w:pPr>
              <w:spacing w:before="60" w:after="60"/>
            </w:pPr>
            <w:r/>
            <w:r>
              <w:rPr>
                <w:rFonts w:ascii="Calibri" w:hAnsi="Calibri"/>
                <w:color w:val="000000"/>
                <w:sz w:val="19"/>
              </w:rPr>
              <w:t>Codex build prompt</w:t>
            </w:r>
          </w:p>
        </w:tc>
      </w:tr>
      <w:tr>
        <w:tc>
          <w:tcPr>
            <w:tcW w:type="dxa" w:w="4320"/>
          </w:tcPr>
          <w:p>
            <w:pPr>
              <w:spacing w:before="60" w:after="60"/>
            </w:pPr>
            <w:r/>
            <w:r>
              <w:rPr>
                <w:rFonts w:ascii="Consolas" w:hAnsi="Consolas"/>
                <w:color w:val="333333"/>
                <w:sz w:val="18"/>
                <w:shd w:fill="F2F2F2" w:val="clear"/>
              </w:rPr>
              <w:t>blueprint/prompts/codex/partial-repo-guide.md</w:t>
            </w:r>
          </w:p>
        </w:tc>
        <w:tc>
          <w:tcPr>
            <w:tcW w:type="dxa" w:w="4320"/>
          </w:tcPr>
          <w:p>
            <w:pPr>
              <w:spacing w:before="60" w:after="60"/>
            </w:pPr>
            <w:r/>
            <w:r>
              <w:rPr>
                <w:rFonts w:ascii="Calibri" w:hAnsi="Calibri"/>
                <w:color w:val="000000"/>
                <w:sz w:val="19"/>
              </w:rPr>
              <w:t>Partial repo handling guide</w:t>
            </w:r>
          </w:p>
        </w:tc>
      </w:tr>
      <w:tr>
        <w:tc>
          <w:tcPr>
            <w:tcW w:type="dxa" w:w="4320"/>
            <w:shd w:fill="EDF2FA" w:val="clear"/>
          </w:tcPr>
          <w:p>
            <w:pPr>
              <w:spacing w:before="60" w:after="60"/>
            </w:pPr>
            <w:r/>
            <w:r>
              <w:rPr>
                <w:rFonts w:ascii="Consolas" w:hAnsi="Consolas"/>
                <w:color w:val="333333"/>
                <w:sz w:val="18"/>
                <w:shd w:fill="F2F2F2" w:val="clear"/>
              </w:rPr>
              <w:t>prompts/claude/code-review.md</w:t>
            </w:r>
          </w:p>
        </w:tc>
        <w:tc>
          <w:tcPr>
            <w:tcW w:type="dxa" w:w="4320"/>
            <w:shd w:fill="EDF2FA" w:val="clear"/>
          </w:tcPr>
          <w:p>
            <w:pPr>
              <w:spacing w:before="60" w:after="60"/>
            </w:pPr>
            <w:r/>
            <w:r>
              <w:rPr>
                <w:rFonts w:ascii="Calibri" w:hAnsi="Calibri"/>
                <w:color w:val="000000"/>
                <w:sz w:val="19"/>
              </w:rPr>
              <w:t>Health scoring prompt</w:t>
            </w:r>
          </w:p>
        </w:tc>
      </w:tr>
      <w:tr>
        <w:tc>
          <w:tcPr>
            <w:tcW w:type="dxa" w:w="4320"/>
          </w:tcPr>
          <w:p>
            <w:pPr>
              <w:spacing w:before="60" w:after="60"/>
            </w:pPr>
            <w:r/>
            <w:r>
              <w:rPr>
                <w:rFonts w:ascii="Consolas" w:hAnsi="Consolas"/>
                <w:color w:val="333333"/>
                <w:sz w:val="18"/>
                <w:shd w:fill="F2F2F2" w:val="clear"/>
              </w:rPr>
              <w:t>prompts/claude/plan.md</w:t>
            </w:r>
          </w:p>
        </w:tc>
        <w:tc>
          <w:tcPr>
            <w:tcW w:type="dxa" w:w="4320"/>
          </w:tcPr>
          <w:p>
            <w:pPr>
              <w:spacing w:before="60" w:after="60"/>
            </w:pPr>
            <w:r/>
            <w:r>
              <w:rPr>
                <w:rFonts w:ascii="Calibri" w:hAnsi="Calibri"/>
                <w:color w:val="000000"/>
                <w:sz w:val="19"/>
              </w:rPr>
              <w:t>Batch prioritization prompt</w:t>
            </w:r>
          </w:p>
        </w:tc>
      </w:tr>
      <w:tr>
        <w:tc>
          <w:tcPr>
            <w:tcW w:type="dxa" w:w="4320"/>
            <w:shd w:fill="EDF2FA" w:val="clear"/>
          </w:tcPr>
          <w:p>
            <w:pPr>
              <w:spacing w:before="60" w:after="60"/>
            </w:pPr>
            <w:r/>
            <w:r>
              <w:rPr>
                <w:rFonts w:ascii="Consolas" w:hAnsi="Consolas"/>
                <w:color w:val="333333"/>
                <w:sz w:val="18"/>
                <w:shd w:fill="F2F2F2" w:val="clear"/>
              </w:rPr>
              <w:t>prompts/claude/verify.md</w:t>
            </w:r>
          </w:p>
        </w:tc>
        <w:tc>
          <w:tcPr>
            <w:tcW w:type="dxa" w:w="4320"/>
            <w:shd w:fill="EDF2FA" w:val="clear"/>
          </w:tcPr>
          <w:p>
            <w:pPr>
              <w:spacing w:before="60" w:after="60"/>
            </w:pPr>
            <w:r/>
            <w:r>
              <w:rPr>
                <w:rFonts w:ascii="Calibri" w:hAnsi="Calibri"/>
                <w:color w:val="000000"/>
                <w:sz w:val="19"/>
              </w:rPr>
              <w:t>Blueprint verification prompt</w:t>
            </w:r>
          </w:p>
        </w:tc>
      </w:tr>
      <w:tr>
        <w:tc>
          <w:tcPr>
            <w:tcW w:type="dxa" w:w="4320"/>
          </w:tcPr>
          <w:p>
            <w:pPr>
              <w:spacing w:before="60" w:after="60"/>
            </w:pPr>
            <w:r/>
            <w:r>
              <w:rPr>
                <w:rFonts w:ascii="Consolas" w:hAnsi="Consolas"/>
                <w:color w:val="333333"/>
                <w:sz w:val="18"/>
                <w:shd w:fill="F2F2F2" w:val="clear"/>
              </w:rPr>
              <w:t>prompts/claude/verify-storyboard.md</w:t>
            </w:r>
          </w:p>
        </w:tc>
        <w:tc>
          <w:tcPr>
            <w:tcW w:type="dxa" w:w="4320"/>
          </w:tcPr>
          <w:p>
            <w:pPr>
              <w:spacing w:before="60" w:after="60"/>
            </w:pPr>
            <w:r/>
            <w:r>
              <w:rPr>
                <w:rFonts w:ascii="Calibri" w:hAnsi="Calibri"/>
                <w:color w:val="000000"/>
                <w:sz w:val="19"/>
              </w:rPr>
              <w:t>Data flow verification prompt</w:t>
            </w:r>
          </w:p>
        </w:tc>
      </w:tr>
      <w:tr>
        <w:tc>
          <w:tcPr>
            <w:tcW w:type="dxa" w:w="4320"/>
            <w:shd w:fill="EDF2FA" w:val="clear"/>
          </w:tcPr>
          <w:p>
            <w:pPr>
              <w:spacing w:before="60" w:after="60"/>
            </w:pPr>
            <w:r/>
            <w:r>
              <w:rPr>
                <w:rFonts w:ascii="Consolas" w:hAnsi="Consolas"/>
                <w:color w:val="333333"/>
                <w:sz w:val="18"/>
                <w:shd w:fill="F2F2F2" w:val="clear"/>
              </w:rPr>
              <w:t>prompts/claude/assess.md</w:t>
            </w:r>
          </w:p>
        </w:tc>
        <w:tc>
          <w:tcPr>
            <w:tcW w:type="dxa" w:w="4320"/>
            <w:shd w:fill="EDF2FA" w:val="clear"/>
          </w:tcPr>
          <w:p>
            <w:pPr>
              <w:spacing w:before="60" w:after="60"/>
            </w:pPr>
            <w:r/>
            <w:r>
              <w:rPr>
                <w:rFonts w:ascii="Calibri" w:hAnsi="Calibri"/>
                <w:color w:val="000000"/>
                <w:sz w:val="19"/>
              </w:rPr>
              <w:t>Codebase assessment prompt</w:t>
            </w:r>
          </w:p>
        </w:tc>
      </w:tr>
      <w:tr>
        <w:tc>
          <w:tcPr>
            <w:tcW w:type="dxa" w:w="4320"/>
          </w:tcPr>
          <w:p>
            <w:pPr>
              <w:spacing w:before="60" w:after="60"/>
            </w:pPr>
            <w:r/>
            <w:r>
              <w:rPr>
                <w:rFonts w:ascii="Consolas" w:hAnsi="Consolas"/>
                <w:color w:val="333333"/>
                <w:sz w:val="18"/>
                <w:shd w:fill="F2F2F2" w:val="clear"/>
              </w:rPr>
              <w:t>prompts/claude/spec-clarity-check.md</w:t>
            </w:r>
          </w:p>
        </w:tc>
        <w:tc>
          <w:tcPr>
            <w:tcW w:type="dxa" w:w="4320"/>
          </w:tcPr>
          <w:p>
            <w:pPr>
              <w:spacing w:before="60" w:after="60"/>
            </w:pPr>
            <w:r/>
            <w:r>
              <w:rPr>
                <w:rFonts w:ascii="Calibri" w:hAnsi="Calibri"/>
                <w:color w:val="000000"/>
                <w:sz w:val="19"/>
              </w:rPr>
              <w:t>Spec quality audit prompt</w:t>
            </w:r>
          </w:p>
        </w:tc>
      </w:tr>
      <w:tr>
        <w:tc>
          <w:tcPr>
            <w:tcW w:type="dxa" w:w="4320"/>
            <w:shd w:fill="EDF2FA" w:val="clear"/>
          </w:tcPr>
          <w:p>
            <w:pPr>
              <w:spacing w:before="60" w:after="60"/>
            </w:pPr>
            <w:r/>
            <w:r>
              <w:rPr>
                <w:rFonts w:ascii="Consolas" w:hAnsi="Consolas"/>
                <w:color w:val="333333"/>
                <w:sz w:val="18"/>
                <w:shd w:fill="F2F2F2" w:val="clear"/>
              </w:rPr>
              <w:t>prompts/claude/cross-artifact-consistency.md</w:t>
            </w:r>
          </w:p>
        </w:tc>
        <w:tc>
          <w:tcPr>
            <w:tcW w:type="dxa" w:w="4320"/>
            <w:shd w:fill="EDF2FA" w:val="clear"/>
          </w:tcPr>
          <w:p>
            <w:pPr>
              <w:spacing w:before="60" w:after="60"/>
            </w:pPr>
            <w:r/>
            <w:r>
              <w:rPr>
                <w:rFonts w:ascii="Calibri" w:hAnsi="Calibri"/>
                <w:color w:val="000000"/>
                <w:sz w:val="19"/>
              </w:rPr>
              <w:t>Cross-reference validation prompt</w:t>
            </w:r>
          </w:p>
        </w:tc>
      </w:tr>
      <w:tr>
        <w:tc>
          <w:tcPr>
            <w:tcW w:type="dxa" w:w="4320"/>
          </w:tcPr>
          <w:p>
            <w:pPr>
              <w:spacing w:before="60" w:after="60"/>
            </w:pPr>
            <w:r/>
            <w:r>
              <w:rPr>
                <w:rFonts w:ascii="Consolas" w:hAnsi="Consolas"/>
                <w:color w:val="333333"/>
                <w:sz w:val="18"/>
                <w:shd w:fill="F2F2F2" w:val="clear"/>
              </w:rPr>
              <w:t>prompts/codex/execute.md</w:t>
            </w:r>
          </w:p>
        </w:tc>
        <w:tc>
          <w:tcPr>
            <w:tcW w:type="dxa" w:w="4320"/>
          </w:tcPr>
          <w:p>
            <w:pPr>
              <w:spacing w:before="60" w:after="60"/>
            </w:pPr>
            <w:r/>
            <w:r>
              <w:rPr>
                <w:rFonts w:ascii="Calibri" w:hAnsi="Calibri"/>
                <w:color w:val="000000"/>
                <w:sz w:val="19"/>
              </w:rPr>
              <w:t>Code generation prompt</w:t>
            </w:r>
          </w:p>
        </w:tc>
      </w:tr>
      <w:tr>
        <w:tc>
          <w:tcPr>
            <w:tcW w:type="dxa" w:w="4320"/>
            <w:shd w:fill="EDF2FA" w:val="clear"/>
          </w:tcPr>
          <w:p>
            <w:pPr>
              <w:spacing w:before="60" w:after="60"/>
            </w:pPr>
            <w:r/>
            <w:r>
              <w:rPr>
                <w:rFonts w:ascii="Consolas" w:hAnsi="Consolas"/>
                <w:color w:val="333333"/>
                <w:sz w:val="18"/>
                <w:shd w:fill="F2F2F2" w:val="clear"/>
              </w:rPr>
              <w:t>prompts/codex/execute-subtask.md</w:t>
            </w:r>
          </w:p>
        </w:tc>
        <w:tc>
          <w:tcPr>
            <w:tcW w:type="dxa" w:w="4320"/>
            <w:shd w:fill="EDF2FA" w:val="clear"/>
          </w:tcPr>
          <w:p>
            <w:pPr>
              <w:spacing w:before="60" w:after="60"/>
            </w:pPr>
            <w:r/>
            <w:r>
              <w:rPr>
                <w:rFonts w:ascii="Calibri" w:hAnsi="Calibri"/>
                <w:color w:val="000000"/>
                <w:sz w:val="19"/>
              </w:rPr>
              <w:t>Parallel sub-task prompt</w:t>
            </w:r>
          </w:p>
        </w:tc>
      </w:tr>
      <w:tr>
        <w:tc>
          <w:tcPr>
            <w:tcW w:type="dxa" w:w="4320"/>
          </w:tcPr>
          <w:p>
            <w:pPr>
              <w:spacing w:before="60" w:after="60"/>
            </w:pPr>
            <w:r/>
            <w:r>
              <w:rPr>
                <w:rFonts w:ascii="Consolas" w:hAnsi="Consolas"/>
                <w:color w:val="333333"/>
                <w:sz w:val="18"/>
                <w:shd w:fill="F2F2F2" w:val="clear"/>
              </w:rPr>
              <w:t>prompts/gemini/research.md</w:t>
            </w:r>
          </w:p>
        </w:tc>
        <w:tc>
          <w:tcPr>
            <w:tcW w:type="dxa" w:w="4320"/>
          </w:tcPr>
          <w:p>
            <w:pPr>
              <w:spacing w:before="60" w:after="60"/>
            </w:pPr>
            <w:r/>
            <w:r>
              <w:rPr>
                <w:rFonts w:ascii="Calibri" w:hAnsi="Calibri"/>
                <w:color w:val="000000"/>
                <w:sz w:val="19"/>
              </w:rPr>
              <w:t>Technical research prompt</w:t>
            </w:r>
          </w:p>
        </w:tc>
      </w:tr>
      <w:tr>
        <w:tc>
          <w:tcPr>
            <w:tcW w:type="dxa" w:w="4320"/>
            <w:shd w:fill="EDF2FA" w:val="clear"/>
          </w:tcPr>
          <w:p>
            <w:pPr>
              <w:spacing w:before="60" w:after="60"/>
            </w:pPr>
            <w:r/>
            <w:r>
              <w:rPr>
                <w:rFonts w:ascii="Consolas" w:hAnsi="Consolas"/>
                <w:color w:val="333333"/>
                <w:sz w:val="18"/>
                <w:shd w:fill="F2F2F2" w:val="clear"/>
              </w:rPr>
              <w:t>prompts/gemini/resolve-spec-conflicts.md</w:t>
            </w:r>
          </w:p>
        </w:tc>
        <w:tc>
          <w:tcPr>
            <w:tcW w:type="dxa" w:w="4320"/>
            <w:shd w:fill="EDF2FA" w:val="clear"/>
          </w:tcPr>
          <w:p>
            <w:pPr>
              <w:spacing w:before="60" w:after="60"/>
            </w:pPr>
            <w:r/>
            <w:r>
              <w:rPr>
                <w:rFonts w:ascii="Calibri" w:hAnsi="Calibri"/>
                <w:color w:val="000000"/>
                <w:sz w:val="19"/>
              </w:rPr>
              <w:t>Spec resolution prompt</w:t>
            </w:r>
          </w:p>
        </w:tc>
      </w:tr>
      <w:tr>
        <w:tc>
          <w:tcPr>
            <w:tcW w:type="dxa" w:w="4320"/>
          </w:tcPr>
          <w:p>
            <w:pPr>
              <w:spacing w:before="60" w:after="60"/>
            </w:pPr>
            <w:r/>
            <w:r>
              <w:rPr>
                <w:rFonts w:ascii="Consolas" w:hAnsi="Consolas"/>
                <w:color w:val="333333"/>
                <w:sz w:val="18"/>
                <w:shd w:fill="F2F2F2" w:val="clear"/>
              </w:rPr>
              <w:t>prompts/council/*.md</w:t>
            </w:r>
          </w:p>
        </w:tc>
        <w:tc>
          <w:tcPr>
            <w:tcW w:type="dxa" w:w="4320"/>
          </w:tcPr>
          <w:p>
            <w:pPr>
              <w:spacing w:before="60" w:after="60"/>
            </w:pPr>
            <w:r/>
            <w:r>
              <w:rPr>
                <w:rFonts w:ascii="Calibri" w:hAnsi="Calibri"/>
                <w:color w:val="000000"/>
                <w:sz w:val="19"/>
              </w:rPr>
              <w:t>14 council review templates</w:t>
            </w:r>
          </w:p>
        </w:tc>
      </w:tr>
      <w:tr>
        <w:tc>
          <w:tcPr>
            <w:tcW w:type="dxa" w:w="4320"/>
            <w:shd w:fill="EDF2FA" w:val="clear"/>
          </w:tcPr>
          <w:p>
            <w:pPr>
              <w:spacing w:before="60" w:after="60"/>
            </w:pPr>
            <w:r/>
            <w:r>
              <w:rPr>
                <w:rFonts w:ascii="Consolas" w:hAnsi="Consolas"/>
                <w:color w:val="333333"/>
                <w:sz w:val="18"/>
                <w:shd w:fill="F2F2F2" w:val="clear"/>
              </w:rPr>
              <w:t>prompts/shared/security-standards.md</w:t>
            </w:r>
          </w:p>
        </w:tc>
        <w:tc>
          <w:tcPr>
            <w:tcW w:type="dxa" w:w="4320"/>
            <w:shd w:fill="EDF2FA" w:val="clear"/>
          </w:tcPr>
          <w:p>
            <w:pPr>
              <w:spacing w:before="60" w:after="60"/>
            </w:pPr>
            <w:r/>
            <w:r>
              <w:rPr>
                <w:rFonts w:ascii="Calibri" w:hAnsi="Calibri"/>
                <w:color w:val="000000"/>
                <w:sz w:val="19"/>
              </w:rPr>
              <w:t>88+ OWASP security rules</w:t>
            </w:r>
          </w:p>
        </w:tc>
      </w:tr>
      <w:tr>
        <w:tc>
          <w:tcPr>
            <w:tcW w:type="dxa" w:w="4320"/>
          </w:tcPr>
          <w:p>
            <w:pPr>
              <w:spacing w:before="60" w:after="60"/>
            </w:pPr>
            <w:r/>
            <w:r>
              <w:rPr>
                <w:rFonts w:ascii="Consolas" w:hAnsi="Consolas"/>
                <w:color w:val="333333"/>
                <w:sz w:val="18"/>
                <w:shd w:fill="F2F2F2" w:val="clear"/>
              </w:rPr>
              <w:t>prompts/shared/coding-conventions.md</w:t>
            </w:r>
          </w:p>
        </w:tc>
        <w:tc>
          <w:tcPr>
            <w:tcW w:type="dxa" w:w="4320"/>
          </w:tcPr>
          <w:p>
            <w:pPr>
              <w:spacing w:before="60" w:after="60"/>
            </w:pPr>
            <w:r/>
            <w:r>
              <w:rPr>
                <w:rFonts w:ascii="Calibri" w:hAnsi="Calibri"/>
                <w:color w:val="000000"/>
                <w:sz w:val="19"/>
              </w:rPr>
              <w:t>.NET/React/SQL conventions</w:t>
            </w:r>
          </w:p>
        </w:tc>
      </w:tr>
      <w:tr>
        <w:tc>
          <w:tcPr>
            <w:tcW w:type="dxa" w:w="4320"/>
            <w:shd w:fill="EDF2FA" w:val="clear"/>
          </w:tcPr>
          <w:p>
            <w:pPr>
              <w:spacing w:before="60" w:after="60"/>
            </w:pPr>
            <w:r/>
            <w:r>
              <w:rPr>
                <w:rFonts w:ascii="Consolas" w:hAnsi="Consolas"/>
                <w:color w:val="333333"/>
                <w:sz w:val="18"/>
                <w:shd w:fill="F2F2F2" w:val="clear"/>
              </w:rPr>
              <w:t>prompts/shared/database-completeness-review.md</w:t>
            </w:r>
          </w:p>
        </w:tc>
        <w:tc>
          <w:tcPr>
            <w:tcW w:type="dxa" w:w="4320"/>
            <w:shd w:fill="EDF2FA" w:val="clear"/>
          </w:tcPr>
          <w:p>
            <w:pPr>
              <w:spacing w:before="60" w:after="60"/>
            </w:pPr>
            <w:r/>
            <w:r>
              <w:rPr>
                <w:rFonts w:ascii="Calibri" w:hAnsi="Calibri"/>
                <w:color w:val="000000"/>
                <w:sz w:val="19"/>
              </w:rPr>
              <w:t>DB chain verification rules</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1"/>
        <w:pBdr>
          <w:bottom w:val="single" w:sz="8" w:space="1" w:color="2B579A"/>
        </w:pBdr>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bl>
    <w:p>
      <w:pPr>
        <w:spacing w:before="80" w:after="80"/>
      </w:pPr>
    </w:p>
    <w:p>
      <w:pPr>
        <w:pStyle w:val="Heading1"/>
        <w:pBdr>
          <w:bottom w:val="single" w:sz="8" w:space="1" w:color="2B579A"/>
        </w:pBdr>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1"/>
        <w:pBdr>
          <w:bottom w:val="single" w:sz="8" w:space="1" w:color="2B579A"/>
        </w:pBdr>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1"/>
        <w:pBdr>
          <w:bottom w:val="single" w:sz="8" w:space="1" w:color="2B579A"/>
        </w:pBdr>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bl>
    <w:p>
      <w:pPr>
        <w:spacing w:before="80" w:after="80"/>
      </w:pPr>
    </w:p>
    <w:p>
      <w:pPr>
        <w:pStyle w:val="Heading1"/>
        <w:pBdr>
          <w:bottom w:val="single" w:sz="8" w:space="1" w:color="2B579A"/>
        </w:pBdr>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Failures before agent switch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2"/>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v1.5.0 source documentation and scripts.</w:t>
      </w:r>
      <w:r>
        <w:rPr>
          <w:rFonts w:ascii="Calibri" w:hAnsi="Calibri"/>
          <w:color w:val="000000"/>
          <w:sz w:val="22"/>
        </w:rPr>
        <w:t>*</w:t>
      </w:r>
    </w:p>
    <w:p>
      <w:pPr>
        <w:spacing w:before="40" w:after="120"/>
      </w:pPr>
      <w:r>
        <w:rPr>
          <w:rFonts w:ascii="Calibri" w:hAnsi="Calibri"/>
          <w:color w:val="000000"/>
          <w:sz w:val="22"/>
        </w:rPr>
        <w:t>*Total scripts: 26 (1 master installer + 1 pre-flight + 20 installer scripts + 4 standalone utilities)</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