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1.1.0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(codex exec --full-auto), multi-agent cost tracking, supervisor pattern memory, false convergence fix, API key management</w:t>
            </w:r>
          </w:p>
        </w:tc>
      </w:tr>
    </w:tbl>
    <w:p>
      <w:r>
        <w:br w:type="page"/>
      </w:r>
    </w:p>
    <w:p>
      <w:pPr>
        <w:pStyle w:val="Heading1"/>
      </w:pPr>
      <w:r>
        <w:t>GSD Autonomous Development Engine - Developer Guide</w:t>
      </w:r>
    </w:p>
    <w:p>
      <w:pPr>
        <w:spacing w:before="40" w:after="120"/>
      </w:pPr>
      <w:r>
        <w:rPr>
          <w:rFonts w:ascii="Calibri" w:hAnsi="Calibri"/>
          <w:b/>
          <w:color w:val="000000"/>
          <w:sz w:val="22"/>
        </w:rPr>
        <w:t>Version:</w:t>
      </w:r>
      <w:r>
        <w:rPr>
          <w:rFonts w:ascii="Calibri" w:hAnsi="Calibri"/>
          <w:color w:val="000000"/>
          <w:sz w:val="22"/>
        </w:rPr>
        <w:t xml:space="preserve"> 1.6.0</w:t>
      </w:r>
    </w:p>
    <w:p>
      <w:pPr>
        <w:spacing w:before="40" w:after="120"/>
      </w:pPr>
      <w:r>
        <w:rPr>
          <w:rFonts w:ascii="Calibri" w:hAnsi="Calibri"/>
          <w:b/>
          <w:color w:val="000000"/>
          <w:sz w:val="22"/>
        </w:rPr>
        <w:t>Date:</w:t>
      </w:r>
      <w:r>
        <w:rPr>
          <w:rFonts w:ascii="Calibri" w:hAnsi="Calibri"/>
          <w:color w:val="000000"/>
          <w:sz w:val="22"/>
        </w:rPr>
        <w:t xml:space="preserve"> March 2026</w:t>
      </w:r>
    </w:p>
    <w:p>
      <w:pPr>
        <w:spacing w:before="40" w:after="120"/>
      </w:pPr>
      <w:r>
        <w:rPr>
          <w:rFonts w:ascii="Calibri" w:hAnsi="Calibri"/>
          <w:b/>
          <w:color w:val="000000"/>
          <w:sz w:val="22"/>
        </w:rPr>
        <w:t>Classification:</w:t>
      </w:r>
      <w:r>
        <w:rPr>
          <w:rFonts w:ascii="Calibri" w:hAnsi="Calibri"/>
          <w:color w:val="000000"/>
          <w:sz w:val="22"/>
        </w:rPr>
        <w:t xml:space="preserve"> Confidential - Internal Use Only</w:t>
      </w:r>
    </w:p>
    <w:p>
      <w:pPr>
        <w:pStyle w:val="Heading1"/>
        <w:pBdr>
          <w:bottom w:val="single" w:sz="8" w:space="1" w:color="2B579A"/>
        </w:pBdr>
      </w:pPr>
      <w:r>
        <w:t>Document History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Version</w:t>
            </w:r>
          </w:p>
        </w:tc>
        <w:tc>
          <w:tcPr>
            <w:tcW w:type="dxa" w:w="2880"/>
            <w:shd w:fill="2B579A" w:val="clear"/>
          </w:tcPr>
          <w:p>
            <w:pPr>
              <w:spacing w:before="80" w:after="80"/>
            </w:pPr>
            <w:r>
              <w:rPr>
                <w:b/>
                <w:color w:val="FFFFFF"/>
                <w:sz w:val="19"/>
              </w:rPr>
            </w:r>
            <w:r>
              <w:rPr>
                <w:rFonts w:ascii="Calibri" w:hAnsi="Calibri"/>
                <w:b/>
                <w:color w:val="FFFFFF"/>
                <w:sz w:val="19"/>
              </w:rPr>
              <w:t>Date</w:t>
            </w:r>
          </w:p>
        </w:tc>
        <w:tc>
          <w:tcPr>
            <w:tcW w:type="dxa" w:w="2880"/>
            <w:shd w:fill="2B579A" w:val="clear"/>
          </w:tcPr>
          <w:p>
            <w:pPr>
              <w:spacing w:before="80" w:after="80"/>
            </w:pPr>
            <w:r>
              <w:rPr>
                <w:b/>
                <w:color w:val="FFFFFF"/>
                <w:sz w:val="19"/>
              </w:rPr>
            </w:r>
            <w:r>
              <w:rPr>
                <w:rFonts w:ascii="Calibri" w:hAnsi="Calibri"/>
                <w:b/>
                <w:color w:val="FFFFFF"/>
                <w:sz w:val="19"/>
              </w:rPr>
              <w:t>Changes</w:t>
            </w:r>
          </w:p>
        </w:tc>
      </w:tr>
      <w:tr>
        <w:tc>
          <w:tcPr>
            <w:tcW w:type="dxa" w:w="2880"/>
          </w:tcPr>
          <w:p>
            <w:pPr>
              <w:spacing w:before="60" w:after="60"/>
            </w:pPr>
            <w:r/>
            <w:r>
              <w:rPr>
                <w:rFonts w:ascii="Calibri" w:hAnsi="Calibri"/>
                <w:color w:val="000000"/>
                <w:sz w:val="19"/>
              </w:rPr>
              <w:t>1.0.0</w:t>
            </w:r>
          </w:p>
        </w:tc>
        <w:tc>
          <w:tcPr>
            <w:tcW w:type="dxa" w:w="2880"/>
          </w:tcPr>
          <w:p>
            <w:pPr>
              <w:spacing w:before="60" w:after="60"/>
            </w:pPr>
            <w:r/>
            <w:r>
              <w:rPr>
                <w:rFonts w:ascii="Calibri" w:hAnsi="Calibri"/>
                <w:color w:val="000000"/>
                <w:sz w:val="19"/>
              </w:rPr>
              <w:t>February 2026</w:t>
            </w:r>
          </w:p>
        </w:tc>
        <w:tc>
          <w:tcPr>
            <w:tcW w:type="dxa" w:w="2880"/>
          </w:tcPr>
          <w:p>
            <w:pPr>
              <w:spacing w:before="60" w:after="60"/>
            </w:pPr>
            <w:r/>
            <w:r>
              <w:rPr>
                <w:rFonts w:ascii="Calibri" w:hAnsi="Calibri"/>
                <w:color w:val="000000"/>
                <w:sz w:val="19"/>
              </w:rPr>
              <w:t>Initial release</w:t>
            </w:r>
          </w:p>
        </w:tc>
      </w:tr>
      <w:tr>
        <w:tc>
          <w:tcPr>
            <w:tcW w:type="dxa" w:w="2880"/>
            <w:shd w:fill="EDF2FA" w:val="clear"/>
          </w:tcPr>
          <w:p>
            <w:pPr>
              <w:spacing w:before="60" w:after="60"/>
            </w:pPr>
            <w:r/>
            <w:r>
              <w:rPr>
                <w:rFonts w:ascii="Calibri" w:hAnsi="Calibri"/>
                <w:color w:val="000000"/>
                <w:sz w:val="19"/>
              </w:rPr>
              <w:t>1.1.0</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Codex CLI update, multi-agent support, supervisor, cost tracking</w:t>
            </w:r>
          </w:p>
        </w:tc>
      </w:tr>
      <w:tr>
        <w:tc>
          <w:tcPr>
            <w:tcW w:type="dxa" w:w="2880"/>
          </w:tcPr>
          <w:p>
            <w:pPr>
              <w:spacing w:before="60" w:after="60"/>
            </w:pPr>
            <w:r/>
            <w:r>
              <w:rPr>
                <w:rFonts w:ascii="Calibri" w:hAnsi="Calibri"/>
                <w:color w:val="000000"/>
                <w:sz w:val="19"/>
              </w:rPr>
              <w:t>1.2.0</w:t>
            </w:r>
          </w:p>
        </w:tc>
        <w:tc>
          <w:tcPr>
            <w:tcW w:type="dxa" w:w="2880"/>
          </w:tcPr>
          <w:p>
            <w:pPr>
              <w:spacing w:before="60" w:after="60"/>
            </w:pPr>
            <w:r/>
            <w:r>
              <w:rPr>
                <w:rFonts w:ascii="Calibri" w:hAnsi="Calibri"/>
                <w:color w:val="000000"/>
                <w:sz w:val="19"/>
              </w:rPr>
              <w:t>March 2026</w:t>
            </w:r>
          </w:p>
        </w:tc>
        <w:tc>
          <w:tcPr>
            <w:tcW w:type="dxa" w:w="2880"/>
          </w:tcPr>
          <w:p>
            <w:pPr>
              <w:spacing w:before="60" w:after="60"/>
            </w:pPr>
            <w:r/>
            <w:r>
              <w:rPr>
                <w:rFonts w:ascii="Calibri" w:hAnsi="Calibri"/>
                <w:color w:val="000000"/>
                <w:sz w:val="19"/>
              </w:rPr>
              <w:t>LLM Council, parallel execution, resilience hardening</w:t>
            </w:r>
          </w:p>
        </w:tc>
      </w:tr>
      <w:tr>
        <w:tc>
          <w:tcPr>
            <w:tcW w:type="dxa" w:w="2880"/>
            <w:shd w:fill="EDF2FA" w:val="clear"/>
          </w:tcPr>
          <w:p>
            <w:pPr>
              <w:spacing w:before="60" w:after="60"/>
            </w:pPr>
            <w:r/>
            <w:r>
              <w:rPr>
                <w:rFonts w:ascii="Calibri" w:hAnsi="Calibri"/>
                <w:color w:val="000000"/>
                <w:sz w:val="19"/>
              </w:rPr>
              <w:t>1.5.0</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Quality gates (DB completeness, security compliance, spec validation), chunked council reviews</w:t>
            </w:r>
          </w:p>
        </w:tc>
      </w:tr>
      <w:tr>
        <w:tc>
          <w:tcPr>
            <w:tcW w:type="dxa" w:w="2880"/>
          </w:tcPr>
          <w:p>
            <w:pPr>
              <w:spacing w:before="60" w:after="60"/>
            </w:pPr>
            <w:r/>
            <w:r>
              <w:rPr>
                <w:rFonts w:ascii="Calibri" w:hAnsi="Calibri"/>
                <w:color w:val="000000"/>
                <w:sz w:val="19"/>
              </w:rPr>
              <w:t>1.6.0</w:t>
            </w:r>
          </w:p>
        </w:tc>
        <w:tc>
          <w:tcPr>
            <w:tcW w:type="dxa" w:w="2880"/>
          </w:tcPr>
          <w:p>
            <w:pPr>
              <w:spacing w:before="60" w:after="60"/>
            </w:pPr>
            <w:r/>
            <w:r>
              <w:rPr>
                <w:rFonts w:ascii="Calibri" w:hAnsi="Calibri"/>
                <w:color w:val="000000"/>
                <w:sz w:val="19"/>
              </w:rPr>
              <w:t>March 2026</w:t>
            </w:r>
          </w:p>
        </w:tc>
        <w:tc>
          <w:tcPr>
            <w:tcW w:type="dxa" w:w="2880"/>
          </w:tcPr>
          <w:p>
            <w:pPr>
              <w:spacing w:before="60" w:after="60"/>
            </w:pPr>
            <w:r/>
            <w:r>
              <w:rPr>
                <w:rFonts w:ascii="Calibri" w:hAnsi="Calibri"/>
                <w:color w:val="000000"/>
                <w:sz w:val="19"/>
              </w:rPr>
              <w:t>Multi-model LLM integration (4 REST agents), API/Database interface auto-detection, REST agent error handling</w:t>
            </w:r>
          </w:p>
        </w:tc>
      </w:tr>
    </w:tbl>
    <w:p>
      <w:pPr>
        <w:spacing w:before="80" w:after="80"/>
      </w:pPr>
    </w:p>
    <w:p>
      <w:pPr>
        <w:pStyle w:val="Heading1"/>
      </w:pPr>
      <w:r>
        <w:t>Chapter 1: Introduction</w:t>
      </w:r>
    </w:p>
    <w:p>
      <w:pPr>
        <w:pStyle w:val="Heading1"/>
        <w:pBdr>
          <w:bottom w:val="single" w:sz="8" w:space="1" w:color="2B579A"/>
        </w:pBdr>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1"/>
        <w:pBdr>
          <w:bottom w:val="single" w:sz="8" w:space="1" w:color="2B579A"/>
        </w:pBdr>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1"/>
        <w:pBdr>
          <w:bottom w:val="single" w:sz="8" w:space="1" w:color="2B579A"/>
        </w:pBdr>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Pr>
      <w:r>
        <w:t>Chapter 2: Architecture</w:t>
      </w:r>
    </w:p>
    <w:p>
      <w:pPr>
        <w:pStyle w:val="Heading1"/>
        <w:pBdr>
          <w:bottom w:val="single" w:sz="8" w:space="1" w:color="2B579A"/>
        </w:pBdr>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1"/>
        <w:pBdr>
          <w:bottom w:val="single" w:sz="8" w:space="1" w:color="2B579A"/>
        </w:pBdr>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1"/>
        <w:pBdr>
          <w:bottom w:val="single" w:sz="8" w:space="1" w:color="2B579A"/>
        </w:pBdr>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2"/>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1"/>
        <w:pBdr>
          <w:bottom w:val="single" w:sz="8" w:space="1" w:color="2B579A"/>
        </w:pBdr>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2"/>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1"/>
        <w:pBdr>
          <w:bottom w:val="single" w:sz="8" w:space="1" w:color="2B579A"/>
        </w:pBdr>
      </w:pPr>
      <w:r>
        <w:t>2.5 Data Flow Diagrams</w:t>
      </w:r>
    </w:p>
    <w:p>
      <w:pPr>
        <w:pStyle w:val="Heading2"/>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2"/>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2"/>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1"/>
        <w:pBdr>
          <w:bottom w:val="single" w:sz="8" w:space="1" w:color="2B579A"/>
        </w:pBdr>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1"/>
        <w:pBdr>
          <w:bottom w:val="single" w:sz="8" w:space="1" w:color="2B579A"/>
        </w:pBdr>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Pr>
      <w:r>
        <w:t>Chapter 3: Installation</w:t>
      </w:r>
    </w:p>
    <w:p>
      <w:pPr>
        <w:pStyle w:val="Heading1"/>
        <w:pBdr>
          <w:bottom w:val="single" w:sz="8" w:space="1" w:color="2B579A"/>
        </w:pBdr>
      </w:pPr>
      <w:r>
        <w:t>3.1 Prerequisites</w:t>
      </w:r>
    </w:p>
    <w:p>
      <w:pPr>
        <w:pStyle w:val="Heading2"/>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2"/>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1"/>
        <w:pBdr>
          <w:bottom w:val="single" w:sz="8" w:space="1" w:color="2B579A"/>
        </w:pBdr>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1"/>
        <w:pBdr>
          <w:bottom w:val="single" w:sz="8" w:space="1" w:color="2B579A"/>
        </w:pBdr>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1"/>
        <w:pBdr>
          <w:bottom w:val="single" w:sz="8" w:space="1" w:color="2B579A"/>
        </w:pBdr>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1"/>
        <w:pBdr>
          <w:bottom w:val="single" w:sz="8" w:space="1" w:color="2B579A"/>
        </w:pBdr>
      </w:pPr>
      <w:r>
        <w:t>3.5 VS Code Integration</w:t>
      </w:r>
    </w:p>
    <w:p>
      <w:pPr>
        <w:pStyle w:val="Heading2"/>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2"/>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1"/>
        <w:pBdr>
          <w:bottom w:val="single" w:sz="8" w:space="1" w:color="2B579A"/>
        </w:pBdr>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1"/>
        <w:pBdr>
          <w:bottom w:val="single" w:sz="8" w:space="1" w:color="2B579A"/>
        </w:pBdr>
      </w:pPr>
      <w:r>
        <w:t>3.7 Updating and Uninstalling</w:t>
      </w:r>
    </w:p>
    <w:p>
      <w:pPr>
        <w:pStyle w:val="Heading2"/>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2"/>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Pr>
      <w:r>
        <w:t>Chapter 4: Usage Guide</w:t>
      </w:r>
    </w:p>
    <w:p>
      <w:pPr>
        <w:pStyle w:val="Heading1"/>
        <w:pBdr>
          <w:bottom w:val="single" w:sz="8" w:space="1" w:color="2B579A"/>
        </w:pBdr>
      </w:pPr>
      <w:r>
        <w:t>4.1 First Project Setup</w:t>
      </w:r>
    </w:p>
    <w:p>
      <w:pPr>
        <w:pStyle w:val="Heading2"/>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2"/>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2"/>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1"/>
        <w:pBdr>
          <w:bottom w:val="single" w:sz="8" w:space="1" w:color="2B579A"/>
        </w:pBdr>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1"/>
        <w:pBdr>
          <w:bottom w:val="single" w:sz="8" w:space="1" w:color="2B579A"/>
        </w:pBdr>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1"/>
        <w:pBdr>
          <w:bottom w:val="single" w:sz="8" w:space="1" w:color="2B579A"/>
        </w:pBdr>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1"/>
        <w:pBdr>
          <w:bottom w:val="single" w:sz="8" w:space="1" w:color="2B579A"/>
        </w:pBdr>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1"/>
        <w:pBdr>
          <w:bottom w:val="single" w:sz="8" w:space="1" w:color="2B579A"/>
        </w:pBdr>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2"/>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1"/>
        <w:pBdr>
          <w:bottom w:val="single" w:sz="8" w:space="1" w:color="2B579A"/>
        </w:pBdr>
      </w:pPr>
      <w:r>
        <w:t>4.7 Monitoring a Running Pipeline</w:t>
      </w:r>
    </w:p>
    <w:p>
      <w:pPr>
        <w:pStyle w:val="Heading2"/>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2"/>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2"/>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2"/>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1"/>
        <w:pBdr>
          <w:bottom w:val="single" w:sz="8" w:space="1" w:color="2B579A"/>
        </w:pBdr>
      </w:pPr>
      <w:r>
        <w:t>4.8 Interrupting and Resuming</w:t>
      </w:r>
    </w:p>
    <w:p>
      <w:pPr>
        <w:pStyle w:val="Heading2"/>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2"/>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2"/>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Pr>
      <w:r>
        <w:t>Chapter 5: Resilience and Self-Healing</w:t>
      </w:r>
    </w:p>
    <w:p>
      <w:pPr>
        <w:pStyle w:val="Heading1"/>
        <w:pBdr>
          <w:bottom w:val="single" w:sz="8" w:space="1" w:color="2B579A"/>
        </w:pBdr>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1"/>
        <w:pBdr>
          <w:bottom w:val="single" w:sz="8" w:space="1" w:color="2B579A"/>
        </w:pBdr>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1"/>
        <w:pBdr>
          <w:bottom w:val="single" w:sz="8" w:space="1" w:color="2B579A"/>
        </w:pBdr>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1"/>
        <w:pBdr>
          <w:bottom w:val="single" w:sz="8" w:space="1" w:color="2B579A"/>
        </w:pBdr>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1"/>
        <w:pBdr>
          <w:bottom w:val="single" w:sz="8" w:space="1" w:color="2B579A"/>
        </w:pBdr>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1"/>
        <w:pBdr>
          <w:bottom w:val="single" w:sz="8" w:space="1" w:color="2B579A"/>
        </w:pBdr>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1"/>
        <w:pBdr>
          <w:bottom w:val="single" w:sz="8" w:space="1" w:color="2B579A"/>
        </w:pBdr>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1"/>
        <w:pBdr>
          <w:bottom w:val="single" w:sz="8" w:space="1" w:color="2B579A"/>
        </w:pBdr>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1"/>
        <w:pBdr>
          <w:bottom w:val="single" w:sz="8" w:space="1" w:color="2B579A"/>
        </w:pBdr>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1"/>
        <w:pBdr>
          <w:bottom w:val="single" w:sz="8" w:space="1" w:color="2B579A"/>
        </w:pBdr>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Pr>
      <w:r>
        <w:t>Chapter 6: Configuration Reference</w:t>
      </w:r>
    </w:p>
    <w:p>
      <w:pPr>
        <w:pStyle w:val="Heading1"/>
        <w:pBdr>
          <w:bottom w:val="single" w:sz="8" w:space="1" w:color="2B579A"/>
        </w:pBdr>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2"/>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2"/>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2"/>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2"/>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2"/>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1"/>
        <w:pBdr>
          <w:bottom w:val="single" w:sz="8" w:space="1" w:color="2B579A"/>
        </w:pBdr>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1"/>
        <w:pBdr>
          <w:bottom w:val="single" w:sz="8" w:space="1" w:color="2B579A"/>
        </w:pBdr>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1"/>
        <w:pBdr>
          <w:bottom w:val="single" w:sz="8" w:space="1" w:color="2B579A"/>
        </w:pBdr>
      </w:pPr>
      <w:r>
        <w:t>6.4 Per-Project State Files</w:t>
      </w:r>
    </w:p>
    <w:p>
      <w:pPr>
        <w:pStyle w:val="Heading2"/>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2"/>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2"/>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2"/>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1"/>
        <w:pBdr>
          <w:bottom w:val="single" w:sz="8" w:space="1" w:color="2B579A"/>
        </w:pBdr>
      </w:pPr>
      <w:r>
        <w:t>6.5 Environment Variables</w:t>
      </w:r>
    </w:p>
    <w:p>
      <w:pPr>
        <w:pStyle w:val="Heading2"/>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2"/>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1"/>
        <w:pBdr>
          <w:bottom w:val="single" w:sz="8" w:space="1" w:color="2B579A"/>
        </w:pBdr>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2"/>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2"/>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Pr>
      <w:r>
        <w:t>Chapter 7: Multi-Interface Support</w:t>
      </w:r>
    </w:p>
    <w:p>
      <w:pPr>
        <w:pStyle w:val="Heading1"/>
        <w:pBdr>
          <w:bottom w:val="single" w:sz="8" w:space="1" w:color="2B579A"/>
        </w:pBdr>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1"/>
        <w:pBdr>
          <w:bottom w:val="single" w:sz="8" w:space="1" w:color="2B579A"/>
        </w:pBdr>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1"/>
        <w:pBdr>
          <w:bottom w:val="single" w:sz="8" w:space="1" w:color="2B579A"/>
        </w:pBdr>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1"/>
        <w:pBdr>
          <w:bottom w:val="single" w:sz="8" w:space="1" w:color="2B579A"/>
        </w:pBdr>
      </w:pPr>
      <w:r>
        <w:t>7.3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1"/>
        <w:pBdr>
          <w:bottom w:val="single" w:sz="8" w:space="1" w:color="2B579A"/>
        </w:pBdr>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1"/>
        <w:pBdr>
          <w:bottom w:val="single" w:sz="8" w:space="1" w:color="2B579A"/>
        </w:pBdr>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Pr>
      <w:r>
        <w:t>Chapter 8: Script Reference</w:t>
      </w:r>
    </w:p>
    <w:p>
      <w:pPr>
        <w:pStyle w:val="Heading1"/>
        <w:pBdr>
          <w:bottom w:val="single" w:sz="8" w:space="1" w:color="2B579A"/>
        </w:pBdr>
      </w:pPr>
      <w:r>
        <w:t>8.1 User Commands</w:t>
      </w:r>
    </w:p>
    <w:p>
      <w:pPr>
        <w:pStyle w:val="Heading2"/>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2"/>
      </w:pPr>
      <w:r>
        <w:t>gsd-converge</w:t>
      </w:r>
    </w:p>
    <w:p>
      <w:pPr>
        <w:spacing w:before="40" w:after="120"/>
      </w:pPr>
      <w:r>
        <w:rPr>
          <w:rFonts w:ascii="Calibri" w:hAnsi="Calibri"/>
          <w:color w:val="000000"/>
          <w:sz w:val="22"/>
        </w:rPr>
        <w:t>5-phase convergence loop. See Section 4.3 for full parameter reference.</w:t>
      </w:r>
    </w:p>
    <w:p>
      <w:pPr>
        <w:pStyle w:val="Heading2"/>
      </w:pPr>
      <w:r>
        <w:t>gsd-blueprint</w:t>
      </w:r>
    </w:p>
    <w:p>
      <w:pPr>
        <w:spacing w:before="40" w:after="120"/>
      </w:pPr>
      <w:r>
        <w:rPr>
          <w:rFonts w:ascii="Calibri" w:hAnsi="Calibri"/>
          <w:color w:val="000000"/>
          <w:sz w:val="22"/>
        </w:rPr>
        <w:t>3-phase blueprint pipeline. See Section 4.4 for full parameter reference.</w:t>
      </w:r>
    </w:p>
    <w:p>
      <w:pPr>
        <w:pStyle w:val="Heading2"/>
      </w:pPr>
      <w:r>
        <w:t>gsd-status</w:t>
      </w:r>
    </w:p>
    <w:p>
      <w:pPr>
        <w:spacing w:before="40" w:after="120"/>
      </w:pPr>
      <w:r>
        <w:rPr>
          <w:rFonts w:ascii="Calibri" w:hAnsi="Calibri"/>
          <w:color w:val="000000"/>
          <w:sz w:val="22"/>
        </w:rPr>
        <w:t>Health dashboard showing current score, iteration, phase, requirement breakdown, and costs.</w:t>
      </w:r>
    </w:p>
    <w:p>
      <w:pPr>
        <w:pStyle w:val="Heading2"/>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2"/>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2"/>
      </w:pPr>
      <w:r>
        <w:t>gsd-remote</w:t>
      </w:r>
    </w:p>
    <w:p>
      <w:pPr>
        <w:spacing w:before="40" w:after="120"/>
      </w:pPr>
      <w:r>
        <w:rPr>
          <w:rFonts w:ascii="Calibri" w:hAnsi="Calibri"/>
          <w:color w:val="000000"/>
          <w:sz w:val="22"/>
        </w:rPr>
        <w:t>Launches remote monitoring server and displays a QR code for phone access.</w:t>
      </w:r>
    </w:p>
    <w:p>
      <w:pPr>
        <w:pStyle w:val="Heading1"/>
        <w:pBdr>
          <w:bottom w:val="single" w:sz="8" w:space="1" w:color="2B579A"/>
        </w:pBdr>
      </w:pPr>
      <w:r>
        <w:t>8.2 Installation Scripts</w:t>
      </w:r>
    </w:p>
    <w:p>
      <w:pPr>
        <w:pStyle w:val="Heading2"/>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2"/>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2"/>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2"/>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2"/>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2"/>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2"/>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2"/>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2"/>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2"/>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2"/>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2"/>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2"/>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2"/>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2"/>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2"/>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2"/>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2"/>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2"/>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2"/>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2"/>
      </w:pPr>
      <w:r>
        <w:t>patch-gsd-resilience-hardening.ps1</w:t>
      </w:r>
    </w:p>
    <w:p>
      <w:pPr>
        <w:spacing w:before="40" w:after="120"/>
      </w:pPr>
      <w:r>
        <w:rPr>
          <w:rFonts w:ascii="Calibri" w:hAnsi="Calibri"/>
          <w:color w:val="000000"/>
          <w:sz w:val="22"/>
        </w:rPr>
        <w:t>Token tracking on all attempts, auth detection fix (403 is rate limit not auth), cumulative quota cap (120 min), agent rotation after 3 consecutive failures.</w:t>
      </w:r>
    </w:p>
    <w:p>
      <w:pPr>
        <w:pStyle w:val="Heading2"/>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1"/>
        <w:pBdr>
          <w:bottom w:val="single" w:sz="8" w:space="1" w:color="2B579A"/>
        </w:pBdr>
      </w:pPr>
      <w:r>
        <w:t>8.3 Standalone Utilities</w:t>
      </w:r>
    </w:p>
    <w:p>
      <w:pPr>
        <w:pStyle w:val="Heading2"/>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2"/>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2"/>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2"/>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1"/>
        <w:pBdr>
          <w:bottom w:val="single" w:sz="8" w:space="1" w:color="2B579A"/>
        </w:pBdr>
      </w:pPr>
      <w:r>
        <w:t>8.4 Key Internal Functions</w:t>
      </w:r>
    </w:p>
    <w:p>
      <w:pPr>
        <w:pStyle w:val="Heading2"/>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2"/>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2"/>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2"/>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2"/>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2"/>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2"/>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2"/>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2"/>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2"/>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2"/>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2"/>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2"/>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2"/>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2"/>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2"/>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2"/>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Pr>
      <w:r>
        <w:t>Chapter 9: Troubleshooting</w:t>
      </w:r>
    </w:p>
    <w:p>
      <w:pPr>
        <w:pStyle w:val="Heading1"/>
        <w:pBdr>
          <w:bottom w:val="single" w:sz="8" w:space="1" w:color="2B579A"/>
        </w:pBdr>
      </w:pPr>
      <w:r>
        <w:t>9.1 Installation Issues</w:t>
      </w:r>
    </w:p>
    <w:p>
      <w:pPr>
        <w:pStyle w:val="Heading2"/>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2"/>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2"/>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2"/>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2"/>
      </w:pPr>
      <w:r>
        <w:t>Install script fails partway through</w:t>
      </w:r>
    </w:p>
    <w:p>
      <w:pPr>
        <w:spacing w:before="40" w:after="120"/>
      </w:pPr>
      <w:r>
        <w:rPr>
          <w:rFonts w:ascii="Calibri" w:hAnsi="Calibri"/>
          <w:color w:val="000000"/>
          <w:sz w:val="22"/>
        </w:rPr>
        <w:t>The installer is idempotent. Re-run to pick up where it left off.</w:t>
      </w:r>
    </w:p>
    <w:p>
      <w:pPr>
        <w:pStyle w:val="Heading1"/>
        <w:pBdr>
          <w:bottom w:val="single" w:sz="8" w:space="1" w:color="2B579A"/>
        </w:pBdr>
      </w:pPr>
      <w:r>
        <w:t>9.2 Runtime Issues</w:t>
      </w:r>
    </w:p>
    <w:p>
      <w:pPr>
        <w:pStyle w:val="Heading2"/>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2"/>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2"/>
      </w:pPr>
      <w:r>
        <w:t>Network unavailable</w:t>
      </w:r>
    </w:p>
    <w:p>
      <w:pPr>
        <w:spacing w:before="40" w:after="120"/>
      </w:pPr>
      <w:r>
        <w:rPr>
          <w:rFonts w:ascii="Calibri" w:hAnsi="Calibri"/>
          <w:color w:val="000000"/>
          <w:sz w:val="22"/>
        </w:rPr>
        <w:t>The engine polls every 30 seconds and resumes when connectivity returns.</w:t>
      </w:r>
    </w:p>
    <w:p>
      <w:pPr>
        <w:pStyle w:val="Heading2"/>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2"/>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1"/>
        <w:pBdr>
          <w:bottom w:val="single" w:sz="8" w:space="1" w:color="2B579A"/>
        </w:pBdr>
      </w:pPr>
      <w:r>
        <w:t>9.3 Agent-Specific Issues</w:t>
      </w:r>
    </w:p>
    <w:p>
      <w:pPr>
        <w:pStyle w:val="Heading2"/>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2"/>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2"/>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1"/>
        <w:pBdr>
          <w:bottom w:val="single" w:sz="8" w:space="1" w:color="2B579A"/>
        </w:pBdr>
      </w:pPr>
      <w:r>
        <w:t>9.4 Spec Consistency Conflicts</w:t>
      </w:r>
    </w:p>
    <w:p>
      <w:pPr>
        <w:pStyle w:val="Heading2"/>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2"/>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2"/>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1"/>
        <w:pBdr>
          <w:bottom w:val="single" w:sz="8" w:space="1" w:color="2B579A"/>
        </w:pBdr>
      </w:pPr>
      <w:r>
        <w:t>9.5 Quality Gate Issues</w:t>
      </w:r>
    </w:p>
    <w:p>
      <w:pPr>
        <w:pStyle w:val="Heading2"/>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2"/>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2"/>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2"/>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1"/>
        <w:pBdr>
          <w:bottom w:val="single" w:sz="8" w:space="1" w:color="2B579A"/>
        </w:pBdr>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Pr>
      <w:r>
        <w:t>Chapter 10: Cost Management</w:t>
      </w:r>
    </w:p>
    <w:p>
      <w:pPr>
        <w:pStyle w:val="Heading1"/>
        <w:pBdr>
          <w:bottom w:val="single" w:sz="8" w:space="1" w:color="2B579A"/>
        </w:pBdr>
      </w:pPr>
      <w:r>
        <w:t>10.1 Token Budget Per Iteration</w:t>
      </w:r>
    </w:p>
    <w:p>
      <w:pPr>
        <w:pStyle w:val="Heading2"/>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2"/>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1"/>
        <w:pBdr>
          <w:bottom w:val="single" w:sz="8" w:space="1" w:color="2B579A"/>
        </w:pBdr>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2"/>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1"/>
        <w:pBdr>
          <w:bottom w:val="single" w:sz="8" w:space="1" w:color="2B579A"/>
        </w:pBdr>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1"/>
        <w:pBdr>
          <w:bottom w:val="single" w:sz="8" w:space="1" w:color="2B579A"/>
        </w:pBdr>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2"/>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2"/>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Pr>
      <w:r>
        <w:t>Chapter 11: Quality Gates</w:t>
      </w:r>
    </w:p>
    <w:p>
      <w:pPr>
        <w:pStyle w:val="Heading1"/>
        <w:pBdr>
          <w:bottom w:val="single" w:sz="8" w:space="1" w:color="2B579A"/>
        </w:pBdr>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1"/>
        <w:pBdr>
          <w:bottom w:val="single" w:sz="8" w:space="1" w:color="2B579A"/>
        </w:pBdr>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1"/>
        <w:pBdr>
          <w:bottom w:val="single" w:sz="8" w:space="1" w:color="2B579A"/>
        </w:pBdr>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2"/>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2"/>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1"/>
        <w:pBdr>
          <w:bottom w:val="single" w:sz="8" w:space="1" w:color="2B579A"/>
        </w:pBdr>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1"/>
        <w:pBdr>
          <w:bottom w:val="single" w:sz="8" w:space="1" w:color="2B579A"/>
        </w:pBdr>
      </w:pPr>
      <w:r>
        <w:t>11.5 Security Standards Reference</w:t>
      </w:r>
    </w:p>
    <w:p>
      <w:pPr>
        <w:spacing w:before="40" w:after="120"/>
      </w:pPr>
      <w:r>
        <w:rPr>
          <w:rFonts w:ascii="Calibri" w:hAnsi="Calibri"/>
          <w:color w:val="000000"/>
          <w:sz w:val="22"/>
        </w:rPr>
        <w:t>The engine enforces 88+ security rules organized by layer:</w:t>
      </w:r>
    </w:p>
    <w:p>
      <w:pPr>
        <w:pStyle w:val="Heading2"/>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2"/>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2"/>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2"/>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1"/>
        <w:pBdr>
          <w:bottom w:val="single" w:sz="8" w:space="1" w:color="2B579A"/>
        </w:pBdr>
      </w:pPr>
      <w:r>
        <w:t>11.6 Coding Conventions</w:t>
      </w:r>
    </w:p>
    <w:p>
      <w:pPr>
        <w:spacing w:before="40" w:after="120"/>
      </w:pPr>
      <w:r>
        <w:rPr>
          <w:rFonts w:ascii="Calibri" w:hAnsi="Calibri"/>
          <w:color w:val="000000"/>
          <w:sz w:val="22"/>
        </w:rPr>
        <w:t>Enforced via agent prompts:</w:t>
      </w:r>
    </w:p>
    <w:p>
      <w:pPr>
        <w:pStyle w:val="Heading2"/>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2"/>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2"/>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Pr>
      <w:r>
        <w:t>Chapter 12: LLM Models and Capabilities</w:t>
      </w:r>
    </w:p>
    <w:p>
      <w:pPr>
        <w:pStyle w:val="Heading1"/>
        <w:pBdr>
          <w:bottom w:val="single" w:sz="8" w:space="1" w:color="2B579A"/>
        </w:pBdr>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1"/>
        <w:pBdr>
          <w:bottom w:val="single" w:sz="8" w:space="1" w:color="2B579A"/>
        </w:pBdr>
      </w:pPr>
      <w:r>
        <w:t>12.2 Model Selection and Roles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bl>
    <w:p>
      <w:pPr>
        <w:spacing w:before="80" w:after="80"/>
      </w:pPr>
    </w:p>
    <w:p>
      <w:pPr>
        <w:spacing w:before="40" w:after="120"/>
      </w:pPr>
      <w:r>
        <w:rPr>
          <w:rFonts w:ascii="Calibri" w:hAnsi="Calibri"/>
          <w:color w:val="000000"/>
          <w:sz w:val="22"/>
        </w:rPr>
        <w:t>REST agents (Kimi, DeepSeek, GLM-5, MiniMax) serve as:</w:t>
      </w:r>
    </w:p>
    <w:p>
      <w:pPr>
        <w:spacing w:before="20" w:after="20"/>
        <w:ind w:left="504"/>
      </w:pPr>
      <w:r>
        <w:rPr>
          <w:rFonts w:ascii="Calibri" w:hAnsi="Calibri"/>
          <w:color w:val="2B579A"/>
          <w:sz w:val="22"/>
        </w:rPr>
        <w:t xml:space="preserve">•  </w:t>
      </w:r>
      <w:r>
        <w:rPr>
          <w:rFonts w:ascii="Calibri" w:hAnsi="Calibri"/>
          <w:b/>
          <w:color w:val="000000"/>
          <w:sz w:val="22"/>
        </w:rPr>
        <w:t>Council reviewers</w:t>
      </w:r>
      <w:r>
        <w:rPr>
          <w:rFonts w:ascii="Calibri" w:hAnsi="Calibri"/>
          <w:color w:val="000000"/>
          <w:sz w:val="22"/>
        </w:rPr>
        <w:t>: Expand the review pool for more diverse perspectives</w:t>
      </w:r>
    </w:p>
    <w:p>
      <w:pPr>
        <w:spacing w:before="20" w:after="20"/>
        <w:ind w:left="504"/>
      </w:pPr>
      <w:r>
        <w:rPr>
          <w:rFonts w:ascii="Calibri" w:hAnsi="Calibri"/>
          <w:color w:val="2B579A"/>
          <w:sz w:val="22"/>
        </w:rPr>
        <w:t xml:space="preserve">•  </w:t>
      </w:r>
      <w:r>
        <w:rPr>
          <w:rFonts w:ascii="Calibri" w:hAnsi="Calibri"/>
          <w:b/>
          <w:color w:val="000000"/>
          <w:sz w:val="22"/>
        </w:rPr>
        <w:t>Rotation fallback</w:t>
      </w:r>
      <w:r>
        <w:rPr>
          <w:rFonts w:ascii="Calibri" w:hAnsi="Calibri"/>
          <w:color w:val="000000"/>
          <w:sz w:val="22"/>
        </w:rPr>
        <w:t>: When CLI agents hit quota limits, REST agents keep the pipeline moving</w:t>
      </w:r>
    </w:p>
    <w:p>
      <w:pPr>
        <w:spacing w:before="20" w:after="20"/>
        <w:ind w:left="504"/>
      </w:pPr>
      <w:r>
        <w:rPr>
          <w:rFonts w:ascii="Calibri" w:hAnsi="Calibri"/>
          <w:color w:val="2B579A"/>
          <w:sz w:val="22"/>
        </w:rPr>
        <w:t xml:space="preserve">•  </w:t>
      </w:r>
      <w:r>
        <w:rPr>
          <w:rFonts w:ascii="Calibri" w:hAnsi="Calibri"/>
          <w:b/>
          <w:color w:val="000000"/>
          <w:sz w:val="22"/>
        </w:rPr>
        <w:t>Cost optimization</w:t>
      </w:r>
      <w:r>
        <w:rPr>
          <w:rFonts w:ascii="Calibri" w:hAnsi="Calibri"/>
          <w:color w:val="000000"/>
          <w:sz w:val="22"/>
        </w:rPr>
        <w:t>: DeepSeek V3 at $0.28/$0.42 is 5-35x cheaper than CLI agents for review tasks</w:t>
      </w:r>
    </w:p>
    <w:p>
      <w:pPr>
        <w:pStyle w:val="Heading1"/>
        <w:pBdr>
          <w:bottom w:val="single" w:sz="8" w:space="1" w:color="2B579A"/>
        </w:pBdr>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"https://api.moonshot.cn/v1/chat/completions",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"moonshot-v1-128k",</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or remove its API key environment variable.</w:t>
      </w:r>
    </w:p>
    <w:p>
      <w:pPr>
        <w:pStyle w:val="Heading1"/>
        <w:pBdr>
          <w:bottom w:val="single" w:sz="8" w:space="1" w:color="2B579A"/>
        </w:pBdr>
      </w:pPr>
      <w:r>
        <w:t>12.4 Model Cost Comparison</w:t>
      </w:r>
    </w:p>
    <w:p>
      <w:pPr>
        <w:pStyle w:val="Heading2"/>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2"/>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1"/>
        <w:pBdr>
          <w:bottom w:val="single" w:sz="8" w:space="1" w:color="2B579A"/>
        </w:pBdr>
      </w:pPr>
      <w:r>
        <w:t>12.5 Error Handling by Agent Type</w:t>
      </w:r>
    </w:p>
    <w:p>
      <w:pPr>
        <w:pStyle w:val="Heading2"/>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2"/>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1"/>
        <w:pBdr>
          <w:bottom w:val="single" w:sz="8" w:space="1" w:color="2B579A"/>
        </w:pBdr>
      </w:pPr>
      <w:r>
        <w:t>12.6 Model-Specific Tips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Most capable overall, most expensive. Best for judgment-heavy phases. Falls back to as last resort for all other agents.</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Fast code generation but limited reasoning. Always use </w:t>
      </w:r>
      <w:r>
        <w:rPr>
          <w:rFonts w:ascii="Consolas" w:hAnsi="Consolas"/>
          <w:color w:val="333333"/>
          <w:sz w:val="18"/>
          <w:shd w:fill="F2F2F2" w:val="clear"/>
        </w:rPr>
        <w:t>--full-auto</w:t>
      </w:r>
      <w:r>
        <w:rPr>
          <w:rFonts w:ascii="Calibri" w:hAnsi="Calibri"/>
          <w:color w:val="000000"/>
          <w:sz w:val="22"/>
        </w:rPr>
        <w:t xml:space="preserve"> mode. Has loop detection limits that can trigger early exit.</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Excellent research in plan mode (read-only). OAuth tokens can expire mid-run -- re-authenticate via browser if needed. Falls back to Codex.</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Good multilingual support. 128K context window. May timeout on very large prompts.</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Cheapest option at $0.28/$0.42 per M tokens. Good for code review tasks. Rate limits can be aggressive.</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Good general reasoning. Chinese-origin model with strong English support.</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Balanced price/performance. Good for council reviews. 200K context window.</w:t>
      </w:r>
    </w:p>
    <w:p>
      <w:pPr>
        <w:pStyle w:val="Heading1"/>
      </w:pPr>
      <w:r>
        <w:t>Appendices</w:t>
      </w:r>
    </w:p>
    <w:p>
      <w:pPr>
        <w:pStyle w:val="Heading1"/>
        <w:pBdr>
          <w:bottom w:val="single" w:sz="8" w:space="1" w:color="2B579A"/>
        </w:pBdr>
      </w:pPr>
      <w:r>
        <w:t>Appendix A: Complete File Inventory</w:t>
      </w:r>
    </w:p>
    <w:p>
      <w:pPr>
        <w:pStyle w:val="Heading2"/>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supervisor/pattern-memory.jsonl</w:t>
            </w:r>
          </w:p>
        </w:tc>
        <w:tc>
          <w:tcPr>
            <w:tcW w:type="dxa" w:w="4320"/>
            <w:shd w:fill="EDF2FA" w:val="clear"/>
          </w:tcPr>
          <w:p>
            <w:pPr>
              <w:spacing w:before="60" w:after="60"/>
            </w:pPr>
            <w:r/>
            <w:r>
              <w:rPr>
                <w:rFonts w:ascii="Calibri" w:hAnsi="Calibri"/>
                <w:color w:val="000000"/>
                <w:sz w:val="19"/>
              </w:rPr>
              <w:t>Cross-project failure patterns</w:t>
            </w:r>
          </w:p>
        </w:tc>
      </w:tr>
      <w:tr>
        <w:tc>
          <w:tcPr>
            <w:tcW w:type="dxa" w:w="4320"/>
          </w:tcPr>
          <w:p>
            <w:pPr>
              <w:spacing w:before="60" w:after="60"/>
            </w:pPr>
            <w:r/>
            <w:r>
              <w:rPr>
                <w:rFonts w:ascii="Consolas" w:hAnsi="Consolas"/>
                <w:color w:val="333333"/>
                <w:sz w:val="18"/>
                <w:shd w:fill="F2F2F2" w:val="clear"/>
              </w:rPr>
              <w:t>pricing-cache.json</w:t>
            </w:r>
          </w:p>
        </w:tc>
        <w:tc>
          <w:tcPr>
            <w:tcW w:type="dxa" w:w="4320"/>
          </w:tcPr>
          <w:p>
            <w:pPr>
              <w:spacing w:before="60" w:after="60"/>
            </w:pPr>
            <w:r/>
            <w:r>
              <w:rPr>
                <w:rFonts w:ascii="Calibri" w:hAnsi="Calibri"/>
                <w:color w:val="000000"/>
                <w:sz w:val="19"/>
              </w:rPr>
              <w:t>LLM pricing data</w:t>
            </w:r>
          </w:p>
        </w:tc>
      </w:tr>
      <w:tr>
        <w:tc>
          <w:tcPr>
            <w:tcW w:type="dxa" w:w="4320"/>
            <w:shd w:fill="EDF2FA" w:val="clear"/>
          </w:tcPr>
          <w:p>
            <w:pPr>
              <w:spacing w:before="60" w:after="60"/>
            </w:pPr>
            <w:r/>
            <w:r>
              <w:rPr>
                <w:rFonts w:ascii="Consolas" w:hAnsi="Consolas"/>
                <w:color w:val="333333"/>
                <w:sz w:val="18"/>
                <w:shd w:fill="F2F2F2" w:val="clear"/>
              </w:rPr>
              <w:t>KNOWN-LIMITATIONS.md</w:t>
            </w:r>
          </w:p>
        </w:tc>
        <w:tc>
          <w:tcPr>
            <w:tcW w:type="dxa" w:w="4320"/>
            <w:shd w:fill="EDF2FA" w:val="clear"/>
          </w:tcPr>
          <w:p>
            <w:pPr>
              <w:spacing w:before="60" w:after="60"/>
            </w:pPr>
            <w:r/>
            <w:r>
              <w:rPr>
                <w:rFonts w:ascii="Calibri" w:hAnsi="Calibri"/>
                <w:color w:val="000000"/>
                <w:sz w:val="19"/>
              </w:rPr>
              <w:t>Scenario matrix</w:t>
            </w:r>
          </w:p>
        </w:tc>
      </w:tr>
      <w:tr>
        <w:tc>
          <w:tcPr>
            <w:tcW w:type="dxa" w:w="4320"/>
          </w:tcPr>
          <w:p>
            <w:pPr>
              <w:spacing w:before="60" w:after="60"/>
            </w:pPr>
            <w:r/>
            <w:r>
              <w:rPr>
                <w:rFonts w:ascii="Consolas" w:hAnsi="Consolas"/>
                <w:color w:val="333333"/>
                <w:sz w:val="18"/>
                <w:shd w:fill="F2F2F2" w:val="clear"/>
              </w:rPr>
              <w:t>VERSION</w:t>
            </w:r>
          </w:p>
        </w:tc>
        <w:tc>
          <w:tcPr>
            <w:tcW w:type="dxa" w:w="4320"/>
          </w:tcPr>
          <w:p>
            <w:pPr>
              <w:spacing w:before="60" w:after="60"/>
            </w:pPr>
            <w:r/>
            <w:r>
              <w:rPr>
                <w:rFonts w:ascii="Calibri" w:hAnsi="Calibri"/>
                <w:color w:val="000000"/>
                <w:sz w:val="19"/>
              </w:rPr>
              <w:t>Installed version</w:t>
            </w:r>
          </w:p>
        </w:tc>
      </w:tr>
    </w:tbl>
    <w:p>
      <w:pPr>
        <w:spacing w:before="80" w:after="80"/>
      </w:pPr>
    </w:p>
    <w:p>
      <w:pPr>
        <w:pStyle w:val="Heading1"/>
        <w:pBdr>
          <w:bottom w:val="single" w:sz="8" w:space="1" w:color="2B579A"/>
        </w:pBdr>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bl>
    <w:p>
      <w:pPr>
        <w:spacing w:before="80" w:after="80"/>
      </w:pPr>
    </w:p>
    <w:p>
      <w:pPr>
        <w:pStyle w:val="Heading1"/>
        <w:pBdr>
          <w:bottom w:val="single" w:sz="8" w:space="1" w:color="2B579A"/>
        </w:pBdr>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1"/>
        <w:pBdr>
          <w:bottom w:val="single" w:sz="8" w:space="1" w:color="2B579A"/>
        </w:pBdr>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1"/>
        <w:pBdr>
          <w:bottom w:val="single" w:sz="8" w:space="1" w:color="2B579A"/>
        </w:pBdr>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1"/>
        <w:pBdr>
          <w:bottom w:val="single" w:sz="8" w:space="1" w:color="2B579A"/>
        </w:pBdr>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2"/>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v1.6.0 source documentation and scripts.</w:t>
      </w:r>
      <w:r>
        <w:rPr>
          <w:rFonts w:ascii="Calibri" w:hAnsi="Calibri"/>
          <w:color w:val="000000"/>
          <w:sz w:val="22"/>
        </w:rPr>
        <w:t>*</w:t>
      </w:r>
    </w:p>
    <w:p>
      <w:pPr>
        <w:spacing w:before="40" w:after="120"/>
      </w:pPr>
      <w:r>
        <w:rPr>
          <w:rFonts w:ascii="Calibri" w:hAnsi="Calibri"/>
          <w:color w:val="000000"/>
          <w:sz w:val="22"/>
        </w:rPr>
        <w:t>*Total scripts: 27 (1 master installer + 1 pre-flight + 21 installer scripts + 4 standalone utilities)</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