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Acceptable Use Policy</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April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 and Scope</w:t>
      </w:r>
    </w:p>
    <w:p>
      <w:pPr>
        <w:pStyle w:val="Heading2"/>
        <w:spacing w:after="200" w:before="300"/>
      </w:pPr>
      <w:r>
        <w:rPr>
          <w:rFonts w:ascii="Arial" w:cs="Arial" w:eastAsia="Arial" w:hAnsi="Arial"/>
          <w:b/>
          <w:bCs/>
          <w:color w:val="0077B6"/>
          <w:sz w:val="26"/>
          <w:szCs w:val="26"/>
        </w:rPr>
        <w:t xml:space="preserve">1.1 Purpose</w:t>
      </w:r>
    </w:p>
    <w:p>
      <w:pPr>
        <w:spacing w:after="100" w:before="100"/>
      </w:pPr>
      <w:r>
        <w:rPr>
          <w:rFonts w:ascii="Arial" w:cs="Arial" w:eastAsia="Arial" w:hAnsi="Arial"/>
          <w:color w:val="333333"/>
          <w:sz w:val="22"/>
          <w:szCs w:val="22"/>
        </w:rPr>
        <w:t xml:space="preserve">This Acceptable Use Policy (AUP) establishes the rules and guidelines governing the use of Technijian, Inc.'s information systems, networks, devices, and technology resources. The purpose of this policy is to protect Technijian's infrastructure, client environments, and data assets from unauthorized or inappropriate use that could expose the organization to legal liability, security incidents, regulatory violations, or reputational harm.</w:t>
      </w:r>
    </w:p>
    <w:p>
      <w:pPr>
        <w:pStyle w:val="Heading2"/>
        <w:spacing w:after="200" w:before="300"/>
      </w:pPr>
      <w:r>
        <w:rPr>
          <w:rFonts w:ascii="Arial" w:cs="Arial" w:eastAsia="Arial" w:hAnsi="Arial"/>
          <w:b/>
          <w:bCs/>
          <w:color w:val="0077B6"/>
          <w:sz w:val="26"/>
          <w:szCs w:val="26"/>
        </w:rPr>
        <w:t xml:space="preserve">1.2 Scope</w:t>
      </w:r>
    </w:p>
    <w:p>
      <w:pPr>
        <w:spacing w:after="100" w:before="100"/>
      </w:pPr>
      <w:r>
        <w:rPr>
          <w:rFonts w:ascii="Arial" w:cs="Arial" w:eastAsia="Arial" w:hAnsi="Arial"/>
          <w:color w:val="333333"/>
          <w:sz w:val="22"/>
          <w:szCs w:val="22"/>
        </w:rPr>
        <w:t xml:space="preserve">This policy applies to:</w:t>
      </w:r>
    </w:p>
    <w:p>
      <w:pPr>
        <w:pStyle w:val="ListParagraph"/>
        <w:numPr>
          <w:ilvl w:val="0"/>
          <w:numId w:val="2"/>
        </w:numPr>
        <w:spacing w:after="50" w:before="50"/>
      </w:pPr>
      <w:r>
        <w:rPr>
          <w:rFonts w:ascii="Arial" w:cs="Arial" w:eastAsia="Arial" w:hAnsi="Arial"/>
          <w:color w:val="333333"/>
          <w:sz w:val="22"/>
          <w:szCs w:val="22"/>
        </w:rPr>
        <w:t xml:space="preserve">All Technijian employees, contractors, subcontractors, interns, and temporary personnel</w:t>
      </w:r>
    </w:p>
    <w:p>
      <w:pPr>
        <w:pStyle w:val="ListParagraph"/>
        <w:numPr>
          <w:ilvl w:val="0"/>
          <w:numId w:val="2"/>
        </w:numPr>
        <w:spacing w:after="50" w:before="50"/>
      </w:pPr>
      <w:r>
        <w:rPr>
          <w:rFonts w:ascii="Arial" w:cs="Arial" w:eastAsia="Arial" w:hAnsi="Arial"/>
          <w:color w:val="333333"/>
          <w:sz w:val="22"/>
          <w:szCs w:val="22"/>
        </w:rPr>
        <w:t xml:space="preserve">All information systems, networks, applications, endpoints, and infrastructure owned, leased, or managed by Technijian</w:t>
      </w:r>
    </w:p>
    <w:p>
      <w:pPr>
        <w:pStyle w:val="ListParagraph"/>
        <w:numPr>
          <w:ilvl w:val="0"/>
          <w:numId w:val="2"/>
        </w:numPr>
        <w:spacing w:after="50" w:before="50"/>
      </w:pPr>
      <w:r>
        <w:rPr>
          <w:rFonts w:ascii="Arial" w:cs="Arial" w:eastAsia="Arial" w:hAnsi="Arial"/>
          <w:color w:val="333333"/>
          <w:sz w:val="22"/>
          <w:szCs w:val="22"/>
        </w:rPr>
        <w:t xml:space="preserve">All client environments accessed or managed by Technijian personnel in the course of service delivery</w:t>
      </w:r>
    </w:p>
    <w:p>
      <w:pPr>
        <w:pStyle w:val="ListParagraph"/>
        <w:numPr>
          <w:ilvl w:val="0"/>
          <w:numId w:val="2"/>
        </w:numPr>
        <w:spacing w:after="50" w:before="50"/>
      </w:pPr>
      <w:r>
        <w:rPr>
          <w:rFonts w:ascii="Arial" w:cs="Arial" w:eastAsia="Arial" w:hAnsi="Arial"/>
          <w:color w:val="333333"/>
          <w:sz w:val="22"/>
          <w:szCs w:val="22"/>
        </w:rPr>
        <w:t xml:space="preserve">All devices used to access Technijian or client systems, including company-issued and personal (BYOD) devices</w:t>
      </w:r>
    </w:p>
    <w:p>
      <w:pPr>
        <w:pStyle w:val="ListParagraph"/>
        <w:numPr>
          <w:ilvl w:val="0"/>
          <w:numId w:val="2"/>
        </w:numPr>
        <w:spacing w:after="50" w:before="50"/>
      </w:pPr>
      <w:r>
        <w:rPr>
          <w:rFonts w:ascii="Arial" w:cs="Arial" w:eastAsia="Arial" w:hAnsi="Arial"/>
          <w:color w:val="333333"/>
          <w:sz w:val="22"/>
          <w:szCs w:val="22"/>
        </w:rPr>
        <w:t xml:space="preserve">All data created, stored, processed, or transmitted using Technijian resources</w:t>
      </w:r>
    </w:p>
    <w:p>
      <w:pPr>
        <w:pStyle w:val="ListParagraph"/>
        <w:numPr>
          <w:ilvl w:val="0"/>
          <w:numId w:val="2"/>
        </w:numPr>
        <w:spacing w:after="50" w:before="50"/>
      </w:pPr>
      <w:r>
        <w:rPr>
          <w:rFonts w:ascii="Arial" w:cs="Arial" w:eastAsia="Arial" w:hAnsi="Arial"/>
          <w:color w:val="333333"/>
          <w:sz w:val="22"/>
          <w:szCs w:val="22"/>
        </w:rPr>
        <w:t xml:space="preserve">All facilities, including the headquarters at 18 Technology Drive, Suite 141, Irvine, CA 92618, and remote work locations</w:t>
      </w:r>
    </w:p>
    <w:p>
      <w:pPr>
        <w:pStyle w:val="Heading2"/>
        <w:spacing w:after="200" w:before="300"/>
      </w:pPr>
      <w:r>
        <w:rPr>
          <w:rFonts w:ascii="Arial" w:cs="Arial" w:eastAsia="Arial" w:hAnsi="Arial"/>
          <w:b/>
          <w:bCs/>
          <w:color w:val="0077B6"/>
          <w:sz w:val="26"/>
          <w:szCs w:val="26"/>
        </w:rPr>
        <w:t xml:space="preserve">1.3 Applicability</w:t>
      </w:r>
    </w:p>
    <w:p>
      <w:pPr>
        <w:spacing w:after="100" w:before="100"/>
      </w:pPr>
      <w:r>
        <w:rPr>
          <w:rFonts w:ascii="Arial" w:cs="Arial" w:eastAsia="Arial" w:hAnsi="Arial"/>
          <w:color w:val="333333"/>
          <w:sz w:val="22"/>
          <w:szCs w:val="22"/>
        </w:rPr>
        <w:t xml:space="preserve">This policy is effective upon acknowledgment and applies for the duration of the individual's relationship with Technijian. Continued access to Technijian systems constitutes acceptance of this policy. Violations may result in disciplinary action up to and including termination and legal action.</w:t>
      </w:r>
    </w:p>
    <w:p>
      <w:pPr>
        <w:pStyle w:val="Heading1"/>
        <w:pageBreakBefore/>
      </w:pPr>
      <w:r>
        <w:rPr>
          <w:rFonts w:ascii="Arial" w:cs="Arial" w:eastAsia="Arial" w:hAnsi="Arial"/>
          <w:b/>
          <w:bCs/>
          <w:color w:val="0077B6"/>
          <w:sz w:val="32"/>
          <w:szCs w:val="32"/>
        </w:rPr>
        <w:t xml:space="preserve">2. Definitions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Term</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Authorized User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Any individual who has been granted access to Technijian or client systems through the formal access request and approval process.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Company Resources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hardware, software, networks, cloud services, applications, data, and communication systems owned, leased, licensed, or managed by Technijian.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Environment</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Any information system, network, application, or data repository belonging to a Technijian client that Technijian personnel access in the course of managed service delivery.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Any computing device (workstation, laptop, server, mobile device, tablet) used to access Technijian or client systems.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Managed System</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Any system monitored and/or administered by Technijian using ManageEngine Endpoint Central Plus, CrowdStrike Falcon, or other management tools deployed as part of Technijian's service delivery.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Sensitive Data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classified as Restricted or Confidential per the Technijian Information Security Program (WISP) Section 5.1, including PII, PHI/ePHI, NPI, payment card data, and credentials.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Protected Health Information as defined by HIPAA. Individually identifiable health information in any form.</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 Data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Payment card data subject to PCI-DSS, including cardholder data (CHD) and sensitive authentication data (SAD).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Business Associate Agreement, required under HIPAA before processing or storing PHI.</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DPA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Processing Agreement, required under GDPR and other privacy regulations before processing personal data on behalf of a data controller.</w:t>
            </w:r>
          </w:p>
        </w:tc>
      </w:tr>
    </w:tbl>
    <w:p>
      <w:pPr>
        <w:spacing w:after="100"/>
      </w:pPr>
    </w:p>
    <w:p>
      <w:pPr>
        <w:pStyle w:val="Heading1"/>
        <w:pageBreakBefore/>
      </w:pPr>
      <w:r>
        <w:rPr>
          <w:rFonts w:ascii="Arial" w:cs="Arial" w:eastAsia="Arial" w:hAnsi="Arial"/>
          <w:b/>
          <w:bCs/>
          <w:color w:val="0077B6"/>
          <w:sz w:val="32"/>
          <w:szCs w:val="32"/>
        </w:rPr>
        <w:t xml:space="preserve">3. Acceptable Use</w:t>
      </w:r>
    </w:p>
    <w:p>
      <w:pPr>
        <w:pStyle w:val="Heading2"/>
        <w:spacing w:after="200" w:before="300"/>
      </w:pPr>
      <w:r>
        <w:rPr>
          <w:rFonts w:ascii="Arial" w:cs="Arial" w:eastAsia="Arial" w:hAnsi="Arial"/>
          <w:b/>
          <w:bCs/>
          <w:color w:val="0077B6"/>
          <w:sz w:val="26"/>
          <w:szCs w:val="26"/>
        </w:rPr>
        <w:t xml:space="preserve">3.1 General Principles</w:t>
      </w:r>
    </w:p>
    <w:p>
      <w:pPr>
        <w:spacing w:after="100" w:before="100"/>
      </w:pPr>
      <w:r>
        <w:rPr>
          <w:rFonts w:ascii="Arial" w:cs="Arial" w:eastAsia="Arial" w:hAnsi="Arial"/>
          <w:color w:val="333333"/>
          <w:sz w:val="22"/>
          <w:szCs w:val="22"/>
        </w:rPr>
        <w:t xml:space="preserve">Technijian resources are provided primarily for business purposes related to the delivery of managed IT services and internal operations. Authorized users must:</w:t>
      </w:r>
    </w:p>
    <w:p>
      <w:pPr>
        <w:pStyle w:val="ListParagraph"/>
        <w:numPr>
          <w:ilvl w:val="0"/>
          <w:numId w:val="2"/>
        </w:numPr>
        <w:spacing w:after="50" w:before="50"/>
      </w:pPr>
      <w:r>
        <w:rPr>
          <w:rFonts w:ascii="Arial" w:cs="Arial" w:eastAsia="Arial" w:hAnsi="Arial"/>
          <w:color w:val="333333"/>
          <w:sz w:val="22"/>
          <w:szCs w:val="22"/>
        </w:rPr>
        <w:t xml:space="preserve">Use company resources responsibly and in accordance with all applicable laws, regulations, and Technijian policies</w:t>
      </w:r>
    </w:p>
    <w:p>
      <w:pPr>
        <w:pStyle w:val="ListParagraph"/>
        <w:numPr>
          <w:ilvl w:val="0"/>
          <w:numId w:val="2"/>
        </w:numPr>
        <w:spacing w:after="50" w:before="50"/>
      </w:pPr>
      <w:r>
        <w:rPr>
          <w:rFonts w:ascii="Arial" w:cs="Arial" w:eastAsia="Arial" w:hAnsi="Arial"/>
          <w:color w:val="333333"/>
          <w:sz w:val="22"/>
          <w:szCs w:val="22"/>
        </w:rPr>
        <w:t xml:space="preserve">Protect the confidentiality, integrity, and availability of all data and systems they access</w:t>
      </w:r>
    </w:p>
    <w:p>
      <w:pPr>
        <w:pStyle w:val="ListParagraph"/>
        <w:numPr>
          <w:ilvl w:val="0"/>
          <w:numId w:val="2"/>
        </w:numPr>
        <w:spacing w:after="50" w:before="50"/>
      </w:pPr>
      <w:r>
        <w:rPr>
          <w:rFonts w:ascii="Arial" w:cs="Arial" w:eastAsia="Arial" w:hAnsi="Arial"/>
          <w:color w:val="333333"/>
          <w:sz w:val="22"/>
          <w:szCs w:val="22"/>
        </w:rPr>
        <w:t xml:space="preserve">Follow the principle of least privilege, accessing only the systems and data necessary for their assigned duties</w:t>
      </w:r>
    </w:p>
    <w:p>
      <w:pPr>
        <w:pStyle w:val="ListParagraph"/>
        <w:numPr>
          <w:ilvl w:val="0"/>
          <w:numId w:val="2"/>
        </w:numPr>
        <w:spacing w:after="50" w:before="50"/>
      </w:pPr>
      <w:r>
        <w:rPr>
          <w:rFonts w:ascii="Arial" w:cs="Arial" w:eastAsia="Arial" w:hAnsi="Arial"/>
          <w:color w:val="333333"/>
          <w:sz w:val="22"/>
          <w:szCs w:val="22"/>
        </w:rPr>
        <w:t xml:space="preserve">Report any suspected security incidents, policy violations, or system anomalies immediately to the Security Officer</w:t>
      </w:r>
    </w:p>
    <w:p>
      <w:pPr>
        <w:pStyle w:val="ListParagraph"/>
        <w:numPr>
          <w:ilvl w:val="0"/>
          <w:numId w:val="2"/>
        </w:numPr>
        <w:spacing w:after="50" w:before="50"/>
      </w:pPr>
      <w:r>
        <w:rPr>
          <w:rFonts w:ascii="Arial" w:cs="Arial" w:eastAsia="Arial" w:hAnsi="Arial"/>
          <w:color w:val="333333"/>
          <w:sz w:val="22"/>
          <w:szCs w:val="22"/>
        </w:rPr>
        <w:t xml:space="preserve">Comply with all client-specific security requirements when accessing client environments</w:t>
      </w:r>
    </w:p>
    <w:p>
      <w:pPr>
        <w:pStyle w:val="Heading2"/>
        <w:spacing w:after="200" w:before="300"/>
      </w:pPr>
      <w:r>
        <w:rPr>
          <w:rFonts w:ascii="Arial" w:cs="Arial" w:eastAsia="Arial" w:hAnsi="Arial"/>
          <w:b/>
          <w:bCs/>
          <w:color w:val="0077B6"/>
          <w:sz w:val="26"/>
          <w:szCs w:val="26"/>
        </w:rPr>
        <w:t xml:space="preserve">3.2 Permitted Personal Use</w:t>
      </w:r>
    </w:p>
    <w:p>
      <w:pPr>
        <w:spacing w:after="100" w:before="100"/>
      </w:pPr>
      <w:r>
        <w:rPr>
          <w:rFonts w:ascii="Arial" w:cs="Arial" w:eastAsia="Arial" w:hAnsi="Arial"/>
          <w:color w:val="333333"/>
          <w:sz w:val="22"/>
          <w:szCs w:val="22"/>
        </w:rPr>
        <w:t xml:space="preserve">Limited personal use of Technijian resources (such as internet browsing or personal email during breaks) is permitted, provided that such use:</w:t>
      </w:r>
    </w:p>
    <w:p>
      <w:pPr>
        <w:pStyle w:val="ListParagraph"/>
        <w:numPr>
          <w:ilvl w:val="0"/>
          <w:numId w:val="2"/>
        </w:numPr>
        <w:spacing w:after="50" w:before="50"/>
      </w:pPr>
      <w:r>
        <w:rPr>
          <w:rFonts w:ascii="Arial" w:cs="Arial" w:eastAsia="Arial" w:hAnsi="Arial"/>
          <w:color w:val="333333"/>
          <w:sz w:val="22"/>
          <w:szCs w:val="22"/>
        </w:rPr>
        <w:t xml:space="preserve">Does not interfere with job performance or productivity</w:t>
      </w:r>
    </w:p>
    <w:p>
      <w:pPr>
        <w:pStyle w:val="ListParagraph"/>
        <w:numPr>
          <w:ilvl w:val="0"/>
          <w:numId w:val="2"/>
        </w:numPr>
        <w:spacing w:after="50" w:before="50"/>
      </w:pPr>
      <w:r>
        <w:rPr>
          <w:rFonts w:ascii="Arial" w:cs="Arial" w:eastAsia="Arial" w:hAnsi="Arial"/>
          <w:color w:val="333333"/>
          <w:sz w:val="22"/>
          <w:szCs w:val="22"/>
        </w:rPr>
        <w:t xml:space="preserve">Does not consume excessive bandwidth or system resources</w:t>
      </w:r>
    </w:p>
    <w:p>
      <w:pPr>
        <w:pStyle w:val="ListParagraph"/>
        <w:numPr>
          <w:ilvl w:val="0"/>
          <w:numId w:val="2"/>
        </w:numPr>
        <w:spacing w:after="50" w:before="50"/>
      </w:pPr>
      <w:r>
        <w:rPr>
          <w:rFonts w:ascii="Arial" w:cs="Arial" w:eastAsia="Arial" w:hAnsi="Arial"/>
          <w:color w:val="333333"/>
          <w:sz w:val="22"/>
          <w:szCs w:val="22"/>
        </w:rPr>
        <w:t xml:space="preserve">Does not violate any provision of this policy or any applicable law</w:t>
      </w:r>
    </w:p>
    <w:p>
      <w:pPr>
        <w:pStyle w:val="ListParagraph"/>
        <w:numPr>
          <w:ilvl w:val="0"/>
          <w:numId w:val="2"/>
        </w:numPr>
        <w:spacing w:after="50" w:before="50"/>
      </w:pPr>
      <w:r>
        <w:rPr>
          <w:rFonts w:ascii="Arial" w:cs="Arial" w:eastAsia="Arial" w:hAnsi="Arial"/>
          <w:color w:val="333333"/>
          <w:sz w:val="22"/>
          <w:szCs w:val="22"/>
        </w:rPr>
        <w:t xml:space="preserve">Does not involve any activity listed under Prohibited Activities (Section 4)</w:t>
      </w:r>
    </w:p>
    <w:p>
      <w:pPr>
        <w:pStyle w:val="ListParagraph"/>
        <w:numPr>
          <w:ilvl w:val="0"/>
          <w:numId w:val="2"/>
        </w:numPr>
        <w:spacing w:after="50" w:before="50"/>
      </w:pPr>
      <w:r>
        <w:rPr>
          <w:rFonts w:ascii="Arial" w:cs="Arial" w:eastAsia="Arial" w:hAnsi="Arial"/>
          <w:color w:val="333333"/>
          <w:sz w:val="22"/>
          <w:szCs w:val="22"/>
        </w:rPr>
        <w:t xml:space="preserve">Does not create any legal liability or security risk for Technijian or its clients</w:t>
      </w:r>
    </w:p>
    <w:p>
      <w:pPr>
        <w:pStyle w:val="Heading2"/>
        <w:spacing w:after="200" w:before="300"/>
      </w:pPr>
      <w:r>
        <w:rPr>
          <w:rFonts w:ascii="Arial" w:cs="Arial" w:eastAsia="Arial" w:hAnsi="Arial"/>
          <w:b/>
          <w:bCs/>
          <w:color w:val="0077B6"/>
          <w:sz w:val="26"/>
          <w:szCs w:val="26"/>
        </w:rPr>
        <w:t xml:space="preserve">3.3 Client Environment Access</w:t>
      </w:r>
    </w:p>
    <w:p>
      <w:pPr>
        <w:spacing w:after="100" w:before="100"/>
      </w:pPr>
      <w:r>
        <w:rPr>
          <w:rFonts w:ascii="Arial" w:cs="Arial" w:eastAsia="Arial" w:hAnsi="Arial"/>
          <w:color w:val="333333"/>
          <w:sz w:val="22"/>
          <w:szCs w:val="22"/>
        </w:rPr>
        <w:t xml:space="preserve">When accessing client environments, Technijian personnel must:</w:t>
      </w:r>
    </w:p>
    <w:p>
      <w:pPr>
        <w:pStyle w:val="ListParagraph"/>
        <w:numPr>
          <w:ilvl w:val="0"/>
          <w:numId w:val="2"/>
        </w:numPr>
        <w:spacing w:after="50" w:before="50"/>
      </w:pPr>
      <w:r>
        <w:rPr>
          <w:rFonts w:ascii="Arial" w:cs="Arial" w:eastAsia="Arial" w:hAnsi="Arial"/>
          <w:color w:val="333333"/>
          <w:sz w:val="22"/>
          <w:szCs w:val="22"/>
        </w:rPr>
        <w:t xml:space="preserve">Use only authorized access methods (VPN, RMM tools, approved remote access platforms)</w:t>
      </w:r>
    </w:p>
    <w:p>
      <w:pPr>
        <w:pStyle w:val="ListParagraph"/>
        <w:numPr>
          <w:ilvl w:val="0"/>
          <w:numId w:val="2"/>
        </w:numPr>
        <w:spacing w:after="50" w:before="50"/>
      </w:pPr>
      <w:r>
        <w:rPr>
          <w:rFonts w:ascii="Arial" w:cs="Arial" w:eastAsia="Arial" w:hAnsi="Arial"/>
          <w:color w:val="333333"/>
          <w:sz w:val="22"/>
          <w:szCs w:val="22"/>
        </w:rPr>
        <w:t xml:space="preserve">Follow client-specific security policies where they are more restrictive than this policy</w:t>
      </w:r>
    </w:p>
    <w:p>
      <w:pPr>
        <w:pStyle w:val="ListParagraph"/>
        <w:numPr>
          <w:ilvl w:val="0"/>
          <w:numId w:val="2"/>
        </w:numPr>
        <w:spacing w:after="50" w:before="50"/>
      </w:pPr>
      <w:r>
        <w:rPr>
          <w:rFonts w:ascii="Arial" w:cs="Arial" w:eastAsia="Arial" w:hAnsi="Arial"/>
          <w:color w:val="333333"/>
          <w:sz w:val="22"/>
          <w:szCs w:val="22"/>
        </w:rPr>
        <w:t xml:space="preserve">Access only the systems and data required for the specific task or service request</w:t>
      </w:r>
    </w:p>
    <w:p>
      <w:pPr>
        <w:pStyle w:val="ListParagraph"/>
        <w:numPr>
          <w:ilvl w:val="0"/>
          <w:numId w:val="2"/>
        </w:numPr>
        <w:spacing w:after="50" w:before="50"/>
      </w:pPr>
      <w:r>
        <w:rPr>
          <w:rFonts w:ascii="Arial" w:cs="Arial" w:eastAsia="Arial" w:hAnsi="Arial"/>
          <w:color w:val="333333"/>
          <w:sz w:val="22"/>
          <w:szCs w:val="22"/>
        </w:rPr>
        <w:t xml:space="preserve">Never store client data on personal devices or unauthorized storage locations</w:t>
      </w:r>
    </w:p>
    <w:p>
      <w:pPr>
        <w:pStyle w:val="ListParagraph"/>
        <w:numPr>
          <w:ilvl w:val="0"/>
          <w:numId w:val="2"/>
        </w:numPr>
        <w:spacing w:after="50" w:before="50"/>
      </w:pPr>
      <w:r>
        <w:rPr>
          <w:rFonts w:ascii="Arial" w:cs="Arial" w:eastAsia="Arial" w:hAnsi="Arial"/>
          <w:color w:val="333333"/>
          <w:sz w:val="22"/>
          <w:szCs w:val="22"/>
        </w:rPr>
        <w:t xml:space="preserve">Document all changes made to client systems through the ticketing system</w:t>
      </w:r>
    </w:p>
    <w:p>
      <w:pPr>
        <w:pStyle w:val="Heading1"/>
        <w:pageBreakBefore/>
      </w:pPr>
      <w:r>
        <w:rPr>
          <w:rFonts w:ascii="Arial" w:cs="Arial" w:eastAsia="Arial" w:hAnsi="Arial"/>
          <w:b/>
          <w:bCs/>
          <w:color w:val="0077B6"/>
          <w:sz w:val="32"/>
          <w:szCs w:val="32"/>
        </w:rPr>
        <w:t xml:space="preserve">4. Prohibited Activities</w:t>
      </w:r>
    </w:p>
    <w:p>
      <w:pPr>
        <w:spacing w:after="100" w:before="100"/>
      </w:pPr>
      <w:r>
        <w:rPr>
          <w:rFonts w:ascii="Arial" w:cs="Arial" w:eastAsia="Arial" w:hAnsi="Arial"/>
          <w:color w:val="333333"/>
          <w:sz w:val="22"/>
          <w:szCs w:val="22"/>
        </w:rPr>
        <w:t xml:space="preserve">The following activities are strictly prohibited when using Technijian resources or accessing client environments. This list is not exhaustive; Technijian reserves the right to determine whether any activity not specifically listed constitutes a violation of this policy.</w:t>
      </w:r>
    </w:p>
    <w:p>
      <w:pPr>
        <w:pStyle w:val="Heading2"/>
        <w:spacing w:after="200" w:before="300"/>
      </w:pPr>
      <w:r>
        <w:rPr>
          <w:rFonts w:ascii="Arial" w:cs="Arial" w:eastAsia="Arial" w:hAnsi="Arial"/>
          <w:b/>
          <w:bCs/>
          <w:color w:val="0077B6"/>
          <w:sz w:val="26"/>
          <w:szCs w:val="26"/>
        </w:rPr>
        <w:t xml:space="preserve">4.1 Illegal Activity</w:t>
      </w:r>
    </w:p>
    <w:p>
      <w:pPr>
        <w:pStyle w:val="ListParagraph"/>
        <w:numPr>
          <w:ilvl w:val="0"/>
          <w:numId w:val="2"/>
        </w:numPr>
        <w:spacing w:after="50" w:before="50"/>
      </w:pPr>
      <w:r>
        <w:rPr>
          <w:rFonts w:ascii="Arial" w:cs="Arial" w:eastAsia="Arial" w:hAnsi="Arial"/>
          <w:color w:val="333333"/>
          <w:sz w:val="22"/>
          <w:szCs w:val="22"/>
        </w:rPr>
        <w:t xml:space="preserve">Using Technijian or client systems for any activity that violates federal, state, or local law</w:t>
      </w:r>
    </w:p>
    <w:p>
      <w:pPr>
        <w:pStyle w:val="ListParagraph"/>
        <w:numPr>
          <w:ilvl w:val="0"/>
          <w:numId w:val="2"/>
        </w:numPr>
        <w:spacing w:after="50" w:before="50"/>
      </w:pPr>
      <w:r>
        <w:rPr>
          <w:rFonts w:ascii="Arial" w:cs="Arial" w:eastAsia="Arial" w:hAnsi="Arial"/>
          <w:color w:val="333333"/>
          <w:sz w:val="22"/>
          <w:szCs w:val="22"/>
        </w:rPr>
        <w:t xml:space="preserve">Accessing, downloading, distributing, or storing illegal material of any kind</w:t>
      </w:r>
    </w:p>
    <w:p>
      <w:pPr>
        <w:pStyle w:val="ListParagraph"/>
        <w:numPr>
          <w:ilvl w:val="0"/>
          <w:numId w:val="2"/>
        </w:numPr>
        <w:spacing w:after="50" w:before="50"/>
      </w:pPr>
      <w:r>
        <w:rPr>
          <w:rFonts w:ascii="Arial" w:cs="Arial" w:eastAsia="Arial" w:hAnsi="Arial"/>
          <w:color w:val="333333"/>
          <w:sz w:val="22"/>
          <w:szCs w:val="22"/>
        </w:rPr>
        <w:t xml:space="preserve">Engaging in harassment, discrimination, threats, or intimidation through electronic communications</w:t>
      </w:r>
    </w:p>
    <w:p>
      <w:pPr>
        <w:pStyle w:val="ListParagraph"/>
        <w:numPr>
          <w:ilvl w:val="0"/>
          <w:numId w:val="2"/>
        </w:numPr>
        <w:spacing w:after="50" w:before="50"/>
      </w:pPr>
      <w:r>
        <w:rPr>
          <w:rFonts w:ascii="Arial" w:cs="Arial" w:eastAsia="Arial" w:hAnsi="Arial"/>
          <w:color w:val="333333"/>
          <w:sz w:val="22"/>
          <w:szCs w:val="22"/>
        </w:rPr>
        <w:t xml:space="preserve">Violating copyright, trademark, patent, or other intellectual property rights, including unauthorized software installation or media distribution</w:t>
      </w:r>
    </w:p>
    <w:p>
      <w:pPr>
        <w:pStyle w:val="ListParagraph"/>
        <w:numPr>
          <w:ilvl w:val="0"/>
          <w:numId w:val="2"/>
        </w:numPr>
        <w:spacing w:after="50" w:before="50"/>
      </w:pPr>
      <w:r>
        <w:rPr>
          <w:rFonts w:ascii="Arial" w:cs="Arial" w:eastAsia="Arial" w:hAnsi="Arial"/>
          <w:color w:val="333333"/>
          <w:sz w:val="22"/>
          <w:szCs w:val="22"/>
        </w:rPr>
        <w:t xml:space="preserve">Unauthorized interception, recording, or monitoring of electronic communications</w:t>
      </w:r>
    </w:p>
    <w:p>
      <w:pPr>
        <w:pStyle w:val="Heading2"/>
        <w:spacing w:after="200" w:before="300"/>
      </w:pPr>
      <w:r>
        <w:rPr>
          <w:rFonts w:ascii="Arial" w:cs="Arial" w:eastAsia="Arial" w:hAnsi="Arial"/>
          <w:b/>
          <w:bCs/>
          <w:color w:val="0077B6"/>
          <w:sz w:val="26"/>
          <w:szCs w:val="26"/>
        </w:rPr>
        <w:t xml:space="preserve">4.2 Malware and Malicious Software</w:t>
      </w:r>
    </w:p>
    <w:p>
      <w:pPr>
        <w:pStyle w:val="ListParagraph"/>
        <w:numPr>
          <w:ilvl w:val="0"/>
          <w:numId w:val="2"/>
        </w:numPr>
        <w:spacing w:after="50" w:before="50"/>
      </w:pPr>
      <w:r>
        <w:rPr>
          <w:rFonts w:ascii="Arial" w:cs="Arial" w:eastAsia="Arial" w:hAnsi="Arial"/>
          <w:color w:val="333333"/>
          <w:sz w:val="22"/>
          <w:szCs w:val="22"/>
        </w:rPr>
        <w:t xml:space="preserve">Intentionally introducing, developing, deploying, or distributing viruses, worms, ransomware, trojans, rootkits, keyloggers, or any other form of malicious software</w:t>
      </w:r>
    </w:p>
    <w:p>
      <w:pPr>
        <w:pStyle w:val="ListParagraph"/>
        <w:numPr>
          <w:ilvl w:val="0"/>
          <w:numId w:val="2"/>
        </w:numPr>
        <w:spacing w:after="50" w:before="50"/>
      </w:pPr>
      <w:r>
        <w:rPr>
          <w:rFonts w:ascii="Arial" w:cs="Arial" w:eastAsia="Arial" w:hAnsi="Arial"/>
          <w:color w:val="333333"/>
          <w:sz w:val="22"/>
          <w:szCs w:val="22"/>
        </w:rPr>
        <w:t xml:space="preserve">Disabling, bypassing, or interfering with endpoint protection software (CrowdStrike Falcon), including uninstalling agents, adding exclusions without authorization, or disabling real-time protection</w:t>
      </w:r>
    </w:p>
    <w:p>
      <w:pPr>
        <w:pStyle w:val="ListParagraph"/>
        <w:numPr>
          <w:ilvl w:val="0"/>
          <w:numId w:val="2"/>
        </w:numPr>
        <w:spacing w:after="50" w:before="50"/>
      </w:pPr>
      <w:r>
        <w:rPr>
          <w:rFonts w:ascii="Arial" w:cs="Arial" w:eastAsia="Arial" w:hAnsi="Arial"/>
          <w:color w:val="333333"/>
          <w:sz w:val="22"/>
          <w:szCs w:val="22"/>
        </w:rPr>
        <w:t xml:space="preserve">Executing scripts, tools, or programs designed to exploit vulnerabilities, disrupt services, or compromise system integrity without explicit written authorization from the Security Officer</w:t>
      </w:r>
    </w:p>
    <w:p>
      <w:pPr>
        <w:pStyle w:val="ListParagraph"/>
        <w:numPr>
          <w:ilvl w:val="0"/>
          <w:numId w:val="2"/>
        </w:numPr>
        <w:spacing w:after="50" w:before="50"/>
      </w:pPr>
      <w:r>
        <w:rPr>
          <w:rFonts w:ascii="Arial" w:cs="Arial" w:eastAsia="Arial" w:hAnsi="Arial"/>
          <w:color w:val="333333"/>
          <w:sz w:val="22"/>
          <w:szCs w:val="22"/>
        </w:rPr>
        <w:t xml:space="preserve">Downloading or executing unknown or untrusted software from the internet without IT Operations approval</w:t>
      </w:r>
    </w:p>
    <w:p>
      <w:pPr>
        <w:pStyle w:val="Heading2"/>
        <w:spacing w:after="200" w:before="300"/>
      </w:pPr>
      <w:r>
        <w:rPr>
          <w:rFonts w:ascii="Arial" w:cs="Arial" w:eastAsia="Arial" w:hAnsi="Arial"/>
          <w:b/>
          <w:bCs/>
          <w:color w:val="0077B6"/>
          <w:sz w:val="26"/>
          <w:szCs w:val="26"/>
        </w:rPr>
        <w:t xml:space="preserve">4.3 Unauthorized Access</w:t>
      </w:r>
    </w:p>
    <w:p>
      <w:pPr>
        <w:pStyle w:val="ListParagraph"/>
        <w:numPr>
          <w:ilvl w:val="0"/>
          <w:numId w:val="2"/>
        </w:numPr>
        <w:spacing w:after="50" w:before="50"/>
      </w:pPr>
      <w:r>
        <w:rPr>
          <w:rFonts w:ascii="Arial" w:cs="Arial" w:eastAsia="Arial" w:hAnsi="Arial"/>
          <w:color w:val="333333"/>
          <w:sz w:val="22"/>
          <w:szCs w:val="22"/>
        </w:rPr>
        <w:t xml:space="preserve">Accessing or attempting to access systems, networks, accounts, or data for which the user is not authorized</w:t>
      </w:r>
    </w:p>
    <w:p>
      <w:pPr>
        <w:pStyle w:val="ListParagraph"/>
        <w:numPr>
          <w:ilvl w:val="0"/>
          <w:numId w:val="2"/>
        </w:numPr>
        <w:spacing w:after="50" w:before="50"/>
      </w:pPr>
      <w:r>
        <w:rPr>
          <w:rFonts w:ascii="Arial" w:cs="Arial" w:eastAsia="Arial" w:hAnsi="Arial"/>
          <w:color w:val="333333"/>
          <w:sz w:val="22"/>
          <w:szCs w:val="22"/>
        </w:rPr>
        <w:t xml:space="preserve">Using another individual's credentials, tokens, or authentication mechanisms</w:t>
      </w:r>
    </w:p>
    <w:p>
      <w:pPr>
        <w:pStyle w:val="ListParagraph"/>
        <w:numPr>
          <w:ilvl w:val="0"/>
          <w:numId w:val="2"/>
        </w:numPr>
        <w:spacing w:after="50" w:before="50"/>
      </w:pPr>
      <w:r>
        <w:rPr>
          <w:rFonts w:ascii="Arial" w:cs="Arial" w:eastAsia="Arial" w:hAnsi="Arial"/>
          <w:color w:val="333333"/>
          <w:sz w:val="22"/>
          <w:szCs w:val="22"/>
        </w:rPr>
        <w:t xml:space="preserve">Escalating privileges beyond what has been formally granted through the access request process</w:t>
      </w:r>
    </w:p>
    <w:p>
      <w:pPr>
        <w:pStyle w:val="ListParagraph"/>
        <w:numPr>
          <w:ilvl w:val="0"/>
          <w:numId w:val="2"/>
        </w:numPr>
        <w:spacing w:after="50" w:before="50"/>
      </w:pPr>
      <w:r>
        <w:rPr>
          <w:rFonts w:ascii="Arial" w:cs="Arial" w:eastAsia="Arial" w:hAnsi="Arial"/>
          <w:color w:val="333333"/>
          <w:sz w:val="22"/>
          <w:szCs w:val="22"/>
        </w:rPr>
        <w:t xml:space="preserve">Accessing client environments without a corresponding service request, approved change, or documented business need</w:t>
      </w:r>
    </w:p>
    <w:p>
      <w:pPr>
        <w:pStyle w:val="ListParagraph"/>
        <w:numPr>
          <w:ilvl w:val="0"/>
          <w:numId w:val="2"/>
        </w:numPr>
        <w:spacing w:after="50" w:before="50"/>
      </w:pPr>
      <w:r>
        <w:rPr>
          <w:rFonts w:ascii="Arial" w:cs="Arial" w:eastAsia="Arial" w:hAnsi="Arial"/>
          <w:color w:val="333333"/>
          <w:sz w:val="22"/>
          <w:szCs w:val="22"/>
        </w:rPr>
        <w:t xml:space="preserve">Performing network scanning, port scanning, vulnerability scanning, or penetration testing against Technijian or client systems without explicit written authorization from the Security Officer</w:t>
      </w:r>
    </w:p>
    <w:p>
      <w:pPr>
        <w:pStyle w:val="Heading2"/>
        <w:spacing w:after="200" w:before="300"/>
      </w:pPr>
      <w:r>
        <w:rPr>
          <w:rFonts w:ascii="Arial" w:cs="Arial" w:eastAsia="Arial" w:hAnsi="Arial"/>
          <w:b/>
          <w:bCs/>
          <w:color w:val="0077B6"/>
          <w:sz w:val="26"/>
          <w:szCs w:val="26"/>
        </w:rPr>
        <w:t xml:space="preserve">4.4 Cryptocurrency Mining</w:t>
      </w:r>
    </w:p>
    <w:p>
      <w:pPr>
        <w:pStyle w:val="ListParagraph"/>
        <w:numPr>
          <w:ilvl w:val="0"/>
          <w:numId w:val="2"/>
        </w:numPr>
        <w:spacing w:after="50" w:before="50"/>
      </w:pPr>
      <w:r>
        <w:rPr>
          <w:rFonts w:ascii="Arial" w:cs="Arial" w:eastAsia="Arial" w:hAnsi="Arial"/>
          <w:color w:val="333333"/>
          <w:sz w:val="22"/>
          <w:szCs w:val="22"/>
        </w:rPr>
        <w:t xml:space="preserve">Using Technijian-owned or managed infrastructure, endpoints, servers, or cloud resources for cryptocurrency mining, blockchain validation, or any computationally intensive activity unrelated to Technijian business operations</w:t>
      </w:r>
    </w:p>
    <w:p>
      <w:pPr>
        <w:pStyle w:val="ListParagraph"/>
        <w:numPr>
          <w:ilvl w:val="0"/>
          <w:numId w:val="2"/>
        </w:numPr>
        <w:spacing w:after="50" w:before="50"/>
      </w:pPr>
      <w:r>
        <w:rPr>
          <w:rFonts w:ascii="Arial" w:cs="Arial" w:eastAsia="Arial" w:hAnsi="Arial"/>
          <w:color w:val="333333"/>
          <w:sz w:val="22"/>
          <w:szCs w:val="22"/>
        </w:rPr>
        <w:t xml:space="preserve">Installing mining software on any managed system</w:t>
      </w:r>
    </w:p>
    <w:p>
      <w:pPr>
        <w:pStyle w:val="ListParagraph"/>
        <w:numPr>
          <w:ilvl w:val="0"/>
          <w:numId w:val="2"/>
        </w:numPr>
        <w:spacing w:after="50" w:before="50"/>
      </w:pPr>
      <w:r>
        <w:rPr>
          <w:rFonts w:ascii="Arial" w:cs="Arial" w:eastAsia="Arial" w:hAnsi="Arial"/>
          <w:color w:val="333333"/>
          <w:sz w:val="22"/>
          <w:szCs w:val="22"/>
        </w:rPr>
        <w:t xml:space="preserve">Utilizing client resources for cryptocurrency-related activities under any circumstances</w:t>
      </w:r>
    </w:p>
    <w:p>
      <w:pPr>
        <w:pStyle w:val="Heading2"/>
        <w:spacing w:after="200" w:before="300"/>
      </w:pPr>
      <w:r>
        <w:rPr>
          <w:rFonts w:ascii="Arial" w:cs="Arial" w:eastAsia="Arial" w:hAnsi="Arial"/>
          <w:b/>
          <w:bCs/>
          <w:color w:val="0077B6"/>
          <w:sz w:val="26"/>
          <w:szCs w:val="26"/>
        </w:rPr>
        <w:t xml:space="preserve">4.5 Circumventing Security Controls</w:t>
      </w:r>
    </w:p>
    <w:p>
      <w:pPr>
        <w:pStyle w:val="ListParagraph"/>
        <w:numPr>
          <w:ilvl w:val="0"/>
          <w:numId w:val="2"/>
        </w:numPr>
        <w:spacing w:after="50" w:before="50"/>
      </w:pPr>
      <w:r>
        <w:rPr>
          <w:rFonts w:ascii="Arial" w:cs="Arial" w:eastAsia="Arial" w:hAnsi="Arial"/>
          <w:color w:val="333333"/>
          <w:sz w:val="22"/>
          <w:szCs w:val="22"/>
        </w:rPr>
        <w:t xml:space="preserve">Disabling, bypassing, or attempting to circumvent any security control, including but not limited to firewalls, web filters, email gateways, DLP policies, conditional access policies, endpoint protection, or network segmentation</w:t>
      </w:r>
    </w:p>
    <w:p>
      <w:pPr>
        <w:pStyle w:val="ListParagraph"/>
        <w:numPr>
          <w:ilvl w:val="0"/>
          <w:numId w:val="2"/>
        </w:numPr>
        <w:spacing w:after="50" w:before="50"/>
      </w:pPr>
      <w:r>
        <w:rPr>
          <w:rFonts w:ascii="Arial" w:cs="Arial" w:eastAsia="Arial" w:hAnsi="Arial"/>
          <w:color w:val="333333"/>
          <w:sz w:val="22"/>
          <w:szCs w:val="22"/>
        </w:rPr>
        <w:t xml:space="preserve">Using VPNs, proxies, Tor, or other anonymization tools to bypass Technijian or client network security controls</w:t>
      </w:r>
    </w:p>
    <w:p>
      <w:pPr>
        <w:pStyle w:val="ListParagraph"/>
        <w:numPr>
          <w:ilvl w:val="0"/>
          <w:numId w:val="2"/>
        </w:numPr>
        <w:spacing w:after="50" w:before="50"/>
      </w:pPr>
      <w:r>
        <w:rPr>
          <w:rFonts w:ascii="Arial" w:cs="Arial" w:eastAsia="Arial" w:hAnsi="Arial"/>
          <w:color w:val="333333"/>
          <w:sz w:val="22"/>
          <w:szCs w:val="22"/>
        </w:rPr>
        <w:t xml:space="preserve">Modifying system configurations, registry settings, Group Policy settings, or firewall rules without authorization and change management approval</w:t>
      </w:r>
    </w:p>
    <w:p>
      <w:pPr>
        <w:pStyle w:val="ListParagraph"/>
        <w:numPr>
          <w:ilvl w:val="0"/>
          <w:numId w:val="2"/>
        </w:numPr>
        <w:spacing w:after="50" w:before="50"/>
      </w:pPr>
      <w:r>
        <w:rPr>
          <w:rFonts w:ascii="Arial" w:cs="Arial" w:eastAsia="Arial" w:hAnsi="Arial"/>
          <w:color w:val="333333"/>
          <w:sz w:val="22"/>
          <w:szCs w:val="22"/>
        </w:rPr>
        <w:t xml:space="preserve">Disabling logging, audit trails, or monitoring agents on any managed system</w:t>
      </w:r>
    </w:p>
    <w:p>
      <w:pPr>
        <w:pStyle w:val="Heading2"/>
        <w:spacing w:after="200" w:before="300"/>
      </w:pPr>
      <w:r>
        <w:rPr>
          <w:rFonts w:ascii="Arial" w:cs="Arial" w:eastAsia="Arial" w:hAnsi="Arial"/>
          <w:b/>
          <w:bCs/>
          <w:color w:val="0077B6"/>
          <w:sz w:val="26"/>
          <w:szCs w:val="26"/>
        </w:rPr>
        <w:t xml:space="preserve">4.6 Credential Sharing and Misuse</w:t>
      </w:r>
    </w:p>
    <w:p>
      <w:pPr>
        <w:pStyle w:val="ListParagraph"/>
        <w:numPr>
          <w:ilvl w:val="0"/>
          <w:numId w:val="2"/>
        </w:numPr>
        <w:spacing w:after="50" w:before="50"/>
      </w:pPr>
      <w:r>
        <w:rPr>
          <w:rFonts w:ascii="Arial" w:cs="Arial" w:eastAsia="Arial" w:hAnsi="Arial"/>
          <w:color w:val="333333"/>
          <w:sz w:val="22"/>
          <w:szCs w:val="22"/>
        </w:rPr>
        <w:t xml:space="preserve">Sharing passwords, MFA tokens, API keys, certificates, SSH keys, or any other authentication credentials with any other person, including colleagues, supervisors, or client personnel</w:t>
      </w:r>
    </w:p>
    <w:p>
      <w:pPr>
        <w:pStyle w:val="ListParagraph"/>
        <w:numPr>
          <w:ilvl w:val="0"/>
          <w:numId w:val="2"/>
        </w:numPr>
        <w:spacing w:after="50" w:before="50"/>
      </w:pPr>
      <w:r>
        <w:rPr>
          <w:rFonts w:ascii="Arial" w:cs="Arial" w:eastAsia="Arial" w:hAnsi="Arial"/>
          <w:color w:val="333333"/>
          <w:sz w:val="22"/>
          <w:szCs w:val="22"/>
        </w:rPr>
        <w:t xml:space="preserve">Writing down or storing credentials in plaintext, including in email, chat messages, documents, spreadsheets, code repositories, or sticky notes</w:t>
      </w:r>
    </w:p>
    <w:p>
      <w:pPr>
        <w:pStyle w:val="ListParagraph"/>
        <w:numPr>
          <w:ilvl w:val="0"/>
          <w:numId w:val="2"/>
        </w:numPr>
        <w:spacing w:after="50" w:before="50"/>
      </w:pPr>
      <w:r>
        <w:rPr>
          <w:rFonts w:ascii="Arial" w:cs="Arial" w:eastAsia="Arial" w:hAnsi="Arial"/>
          <w:color w:val="333333"/>
          <w:sz w:val="22"/>
          <w:szCs w:val="22"/>
        </w:rPr>
        <w:t xml:space="preserve">Using shared or generic accounts for activities that require individual accountability</w:t>
      </w:r>
    </w:p>
    <w:p>
      <w:pPr>
        <w:pStyle w:val="ListParagraph"/>
        <w:numPr>
          <w:ilvl w:val="0"/>
          <w:numId w:val="2"/>
        </w:numPr>
        <w:spacing w:after="50" w:before="50"/>
      </w:pPr>
      <w:r>
        <w:rPr>
          <w:rFonts w:ascii="Arial" w:cs="Arial" w:eastAsia="Arial" w:hAnsi="Arial"/>
          <w:color w:val="333333"/>
          <w:sz w:val="22"/>
          <w:szCs w:val="22"/>
        </w:rPr>
        <w:t xml:space="preserve">Failing to report known or suspected credential compromise immediately</w:t>
      </w:r>
    </w:p>
    <w:p>
      <w:pPr>
        <w:pStyle w:val="Heading2"/>
        <w:spacing w:after="200" w:before="300"/>
      </w:pPr>
      <w:r>
        <w:rPr>
          <w:rFonts w:ascii="Arial" w:cs="Arial" w:eastAsia="Arial" w:hAnsi="Arial"/>
          <w:b/>
          <w:bCs/>
          <w:color w:val="0077B6"/>
          <w:sz w:val="26"/>
          <w:szCs w:val="26"/>
        </w:rPr>
        <w:t xml:space="preserve">4.7 Unauthorized Storage of Regulated Data</w:t>
      </w:r>
    </w:p>
    <w:p>
      <w:pPr>
        <w:pStyle w:val="ListParagraph"/>
        <w:numPr>
          <w:ilvl w:val="0"/>
          <w:numId w:val="2"/>
        </w:numPr>
        <w:spacing w:after="50" w:before="50"/>
      </w:pPr>
      <w:r>
        <w:rPr>
          <w:rFonts w:ascii="Arial" w:cs="Arial" w:eastAsia="Arial" w:hAnsi="Arial"/>
          <w:color w:val="333333"/>
          <w:sz w:val="22"/>
          <w:szCs w:val="22"/>
        </w:rPr>
        <w:t xml:space="preserve">Storing, processing, or transmitting Protected Health Information (PHI/ePHI) on any system or in any environment where a Business Associate Agreement (BAA) is not in place between Technijian and the relevant parties</w:t>
      </w:r>
    </w:p>
    <w:p>
      <w:pPr>
        <w:pStyle w:val="ListParagraph"/>
        <w:numPr>
          <w:ilvl w:val="0"/>
          <w:numId w:val="2"/>
        </w:numPr>
        <w:spacing w:after="50" w:before="50"/>
      </w:pPr>
      <w:r>
        <w:rPr>
          <w:rFonts w:ascii="Arial" w:cs="Arial" w:eastAsia="Arial" w:hAnsi="Arial"/>
          <w:color w:val="333333"/>
          <w:sz w:val="22"/>
          <w:szCs w:val="22"/>
        </w:rPr>
        <w:t xml:space="preserve">Storing, processing, or transmitting payment card data (PCI) on any system or in any environment that has not been assessed and approved for PCI-DSS compliance, or where a Data Processing Agreement (DPA) is not in place as required</w:t>
      </w:r>
    </w:p>
    <w:p>
      <w:pPr>
        <w:pStyle w:val="ListParagraph"/>
        <w:numPr>
          <w:ilvl w:val="0"/>
          <w:numId w:val="2"/>
        </w:numPr>
        <w:spacing w:after="50" w:before="50"/>
      </w:pPr>
      <w:r>
        <w:rPr>
          <w:rFonts w:ascii="Arial" w:cs="Arial" w:eastAsia="Arial" w:hAnsi="Arial"/>
          <w:color w:val="333333"/>
          <w:sz w:val="22"/>
          <w:szCs w:val="22"/>
        </w:rPr>
        <w:t xml:space="preserve">Storing Restricted or Confidential data on personal devices, personal cloud storage accounts, or any unauthorized storage location</w:t>
      </w:r>
    </w:p>
    <w:p>
      <w:pPr>
        <w:pStyle w:val="ListParagraph"/>
        <w:numPr>
          <w:ilvl w:val="0"/>
          <w:numId w:val="2"/>
        </w:numPr>
        <w:spacing w:after="50" w:before="50"/>
      </w:pPr>
      <w:r>
        <w:rPr>
          <w:rFonts w:ascii="Arial" w:cs="Arial" w:eastAsia="Arial" w:hAnsi="Arial"/>
          <w:color w:val="333333"/>
          <w:sz w:val="22"/>
          <w:szCs w:val="22"/>
        </w:rPr>
        <w:t xml:space="preserve">Transmitting Restricted data via unencrypted channels, including unencrypted email, SMS, or consumer messaging applications</w:t>
      </w:r>
    </w:p>
    <w:p>
      <w:pPr>
        <w:pStyle w:val="Heading2"/>
        <w:spacing w:after="200" w:before="300"/>
      </w:pPr>
      <w:r>
        <w:rPr>
          <w:rFonts w:ascii="Arial" w:cs="Arial" w:eastAsia="Arial" w:hAnsi="Arial"/>
          <w:b/>
          <w:bCs/>
          <w:color w:val="0077B6"/>
          <w:sz w:val="26"/>
          <w:szCs w:val="26"/>
        </w:rPr>
        <w:t xml:space="preserve">4.8 Other Prohibited Activities</w:t>
      </w:r>
    </w:p>
    <w:p>
      <w:pPr>
        <w:pStyle w:val="ListParagraph"/>
        <w:numPr>
          <w:ilvl w:val="0"/>
          <w:numId w:val="2"/>
        </w:numPr>
        <w:spacing w:after="50" w:before="50"/>
      </w:pPr>
      <w:r>
        <w:rPr>
          <w:rFonts w:ascii="Arial" w:cs="Arial" w:eastAsia="Arial" w:hAnsi="Arial"/>
          <w:color w:val="333333"/>
          <w:sz w:val="22"/>
          <w:szCs w:val="22"/>
        </w:rPr>
        <w:t xml:space="preserve">Sending unsolicited bulk email (spam) or chain letters from Technijian systems</w:t>
      </w:r>
    </w:p>
    <w:p>
      <w:pPr>
        <w:pStyle w:val="ListParagraph"/>
        <w:numPr>
          <w:ilvl w:val="0"/>
          <w:numId w:val="2"/>
        </w:numPr>
        <w:spacing w:after="50" w:before="50"/>
      </w:pPr>
      <w:r>
        <w:rPr>
          <w:rFonts w:ascii="Arial" w:cs="Arial" w:eastAsia="Arial" w:hAnsi="Arial"/>
          <w:color w:val="333333"/>
          <w:sz w:val="22"/>
          <w:szCs w:val="22"/>
        </w:rPr>
        <w:t xml:space="preserve">Using Technijian resources to operate a personal business or engage in outside commercial activity</w:t>
      </w:r>
    </w:p>
    <w:p>
      <w:pPr>
        <w:pStyle w:val="ListParagraph"/>
        <w:numPr>
          <w:ilvl w:val="0"/>
          <w:numId w:val="2"/>
        </w:numPr>
        <w:spacing w:after="50" w:before="50"/>
      </w:pPr>
      <w:r>
        <w:rPr>
          <w:rFonts w:ascii="Arial" w:cs="Arial" w:eastAsia="Arial" w:hAnsi="Arial"/>
          <w:color w:val="333333"/>
          <w:sz w:val="22"/>
          <w:szCs w:val="22"/>
        </w:rPr>
        <w:t xml:space="preserve">Posting Technijian or client confidential information on social media, forums, or public websites</w:t>
      </w:r>
    </w:p>
    <w:p>
      <w:pPr>
        <w:pStyle w:val="ListParagraph"/>
        <w:numPr>
          <w:ilvl w:val="0"/>
          <w:numId w:val="2"/>
        </w:numPr>
        <w:spacing w:after="50" w:before="50"/>
      </w:pPr>
      <w:r>
        <w:rPr>
          <w:rFonts w:ascii="Arial" w:cs="Arial" w:eastAsia="Arial" w:hAnsi="Arial"/>
          <w:color w:val="333333"/>
          <w:sz w:val="22"/>
          <w:szCs w:val="22"/>
        </w:rPr>
        <w:t xml:space="preserve">Connecting unauthorized devices to Technijian or client networks without IT Operations approval</w:t>
      </w:r>
    </w:p>
    <w:p>
      <w:pPr>
        <w:pStyle w:val="ListParagraph"/>
        <w:numPr>
          <w:ilvl w:val="0"/>
          <w:numId w:val="2"/>
        </w:numPr>
        <w:spacing w:after="50" w:before="50"/>
      </w:pPr>
      <w:r>
        <w:rPr>
          <w:rFonts w:ascii="Arial" w:cs="Arial" w:eastAsia="Arial" w:hAnsi="Arial"/>
          <w:color w:val="333333"/>
          <w:sz w:val="22"/>
          <w:szCs w:val="22"/>
        </w:rPr>
        <w:t xml:space="preserve">Physically tampering with, relocating, or removing Technijian or client hardware without authorization</w:t>
      </w:r>
    </w:p>
    <w:p>
      <w:pPr>
        <w:pStyle w:val="Heading1"/>
        <w:pageBreakBefore/>
      </w:pPr>
      <w:r>
        <w:rPr>
          <w:rFonts w:ascii="Arial" w:cs="Arial" w:eastAsia="Arial" w:hAnsi="Arial"/>
          <w:b/>
          <w:bCs/>
          <w:color w:val="0077B6"/>
          <w:sz w:val="32"/>
          <w:szCs w:val="32"/>
        </w:rPr>
        <w:t xml:space="preserve">5. Security Requirements</w:t>
      </w:r>
    </w:p>
    <w:p>
      <w:pPr>
        <w:pStyle w:val="Heading2"/>
        <w:spacing w:after="200" w:before="300"/>
      </w:pPr>
      <w:r>
        <w:rPr>
          <w:rFonts w:ascii="Arial" w:cs="Arial" w:eastAsia="Arial" w:hAnsi="Arial"/>
          <w:b/>
          <w:bCs/>
          <w:color w:val="0077B6"/>
          <w:sz w:val="26"/>
          <w:szCs w:val="26"/>
        </w:rPr>
        <w:t xml:space="preserve">5.1 Multi-Factor Authentication (MFA)</w:t>
      </w:r>
    </w:p>
    <w:p>
      <w:pPr>
        <w:spacing w:after="100" w:before="100"/>
      </w:pPr>
      <w:r>
        <w:rPr>
          <w:rFonts w:ascii="Arial" w:cs="Arial" w:eastAsia="Arial" w:hAnsi="Arial"/>
          <w:color w:val="333333"/>
          <w:sz w:val="22"/>
          <w:szCs w:val="22"/>
        </w:rPr>
        <w:t xml:space="preserve">All authorized users must comply with the following MFA requirements:</w:t>
      </w:r>
    </w:p>
    <w:p>
      <w:pPr>
        <w:pStyle w:val="ListParagraph"/>
        <w:numPr>
          <w:ilvl w:val="0"/>
          <w:numId w:val="2"/>
        </w:numPr>
        <w:spacing w:after="50" w:before="50"/>
      </w:pPr>
      <w:r>
        <w:rPr>
          <w:rFonts w:ascii="Arial" w:cs="Arial" w:eastAsia="Arial" w:hAnsi="Arial"/>
          <w:color w:val="333333"/>
          <w:sz w:val="22"/>
          <w:szCs w:val="22"/>
        </w:rPr>
        <w:t xml:space="preserve">MFA is mandatory for all access to Technijian systems, client environments, cloud services (Microsoft 365, Azure, AWS), VPN connections, RMM tools (ManageEngine Endpoint Central Plus), and email</w:t>
      </w:r>
    </w:p>
    <w:p>
      <w:pPr>
        <w:pStyle w:val="ListParagraph"/>
        <w:numPr>
          <w:ilvl w:val="0"/>
          <w:numId w:val="2"/>
        </w:numPr>
        <w:spacing w:after="50" w:before="50"/>
      </w:pPr>
      <w:r>
        <w:rPr>
          <w:rFonts w:ascii="Arial" w:cs="Arial" w:eastAsia="Arial" w:hAnsi="Arial"/>
          <w:color w:val="333333"/>
          <w:sz w:val="22"/>
          <w:szCs w:val="22"/>
        </w:rPr>
        <w:t xml:space="preserve">SMS-based MFA is prohibited for administrative accounts due to SIM-swap and interception risks</w:t>
      </w:r>
    </w:p>
    <w:p>
      <w:pPr>
        <w:pStyle w:val="ListParagraph"/>
        <w:numPr>
          <w:ilvl w:val="0"/>
          <w:numId w:val="2"/>
        </w:numPr>
        <w:spacing w:after="50" w:before="50"/>
      </w:pPr>
      <w:r>
        <w:rPr>
          <w:rFonts w:ascii="Arial" w:cs="Arial" w:eastAsia="Arial" w:hAnsi="Arial"/>
          <w:color w:val="333333"/>
          <w:sz w:val="22"/>
          <w:szCs w:val="22"/>
        </w:rPr>
        <w:t xml:space="preserve">Approved MFA methods include:</w:t>
      </w:r>
    </w:p>
    <w:p>
      <w:pPr>
        <w:pStyle w:val="ListParagraph"/>
        <w:numPr>
          <w:ilvl w:val="1"/>
          <w:numId w:val="2"/>
        </w:numPr>
        <w:spacing w:after="50" w:before="50"/>
      </w:pPr>
      <w:r>
        <w:rPr>
          <w:rFonts w:ascii="Arial" w:cs="Arial" w:eastAsia="Arial" w:hAnsi="Arial"/>
          <w:color w:val="333333"/>
          <w:sz w:val="22"/>
          <w:szCs w:val="22"/>
        </w:rPr>
        <w:t xml:space="preserve">Authenticator applications (TOTP-based): Microsoft Authenticator, Google Authenticator</w:t>
      </w:r>
    </w:p>
    <w:p>
      <w:pPr>
        <w:pStyle w:val="ListParagraph"/>
        <w:numPr>
          <w:ilvl w:val="1"/>
          <w:numId w:val="2"/>
        </w:numPr>
        <w:spacing w:after="50" w:before="50"/>
      </w:pPr>
      <w:r>
        <w:rPr>
          <w:rFonts w:ascii="Arial" w:cs="Arial" w:eastAsia="Arial" w:hAnsi="Arial"/>
          <w:color w:val="333333"/>
          <w:sz w:val="22"/>
          <w:szCs w:val="22"/>
        </w:rPr>
        <w:t xml:space="preserve">Hardware security tokens: YubiKey</w:t>
      </w:r>
    </w:p>
    <w:p>
      <w:pPr>
        <w:pStyle w:val="ListParagraph"/>
        <w:numPr>
          <w:ilvl w:val="1"/>
          <w:numId w:val="2"/>
        </w:numPr>
        <w:spacing w:after="50" w:before="50"/>
      </w:pPr>
      <w:r>
        <w:rPr>
          <w:rFonts w:ascii="Arial" w:cs="Arial" w:eastAsia="Arial" w:hAnsi="Arial"/>
          <w:color w:val="333333"/>
          <w:sz w:val="22"/>
          <w:szCs w:val="22"/>
        </w:rPr>
        <w:t xml:space="preserve">FIDO2/WebAuthn keys</w:t>
      </w:r>
    </w:p>
    <w:p>
      <w:pPr>
        <w:pStyle w:val="ListParagraph"/>
        <w:numPr>
          <w:ilvl w:val="0"/>
          <w:numId w:val="2"/>
        </w:numPr>
        <w:spacing w:after="50" w:before="50"/>
      </w:pPr>
      <w:r>
        <w:rPr>
          <w:rFonts w:ascii="Arial" w:cs="Arial" w:eastAsia="Arial" w:hAnsi="Arial"/>
          <w:color w:val="333333"/>
          <w:sz w:val="22"/>
          <w:szCs w:val="22"/>
        </w:rPr>
        <w:t xml:space="preserve">Users must register at least two MFA methods to ensure access continuity</w:t>
      </w:r>
    </w:p>
    <w:p>
      <w:pPr>
        <w:pStyle w:val="ListParagraph"/>
        <w:numPr>
          <w:ilvl w:val="0"/>
          <w:numId w:val="2"/>
        </w:numPr>
        <w:spacing w:after="50" w:before="50"/>
      </w:pPr>
      <w:r>
        <w:rPr>
          <w:rFonts w:ascii="Arial" w:cs="Arial" w:eastAsia="Arial" w:hAnsi="Arial"/>
          <w:color w:val="333333"/>
          <w:sz w:val="22"/>
          <w:szCs w:val="22"/>
        </w:rPr>
        <w:t xml:space="preserve">MFA tokens and recovery codes must be stored securely and never shared</w:t>
      </w:r>
    </w:p>
    <w:p>
      <w:pPr>
        <w:pStyle w:val="Heading2"/>
        <w:spacing w:after="200" w:before="300"/>
      </w:pPr>
      <w:r>
        <w:rPr>
          <w:rFonts w:ascii="Arial" w:cs="Arial" w:eastAsia="Arial" w:hAnsi="Arial"/>
          <w:b/>
          <w:bCs/>
          <w:color w:val="0077B6"/>
          <w:sz w:val="26"/>
          <w:szCs w:val="26"/>
        </w:rPr>
        <w:t xml:space="preserve">5.2 Password Requirements</w:t>
      </w:r>
    </w:p>
    <w:p>
      <w:pPr>
        <w:spacing w:after="100" w:before="100"/>
      </w:pPr>
      <w:r>
        <w:rPr>
          <w:rFonts w:ascii="Arial" w:cs="Arial" w:eastAsia="Arial" w:hAnsi="Arial"/>
          <w:color w:val="333333"/>
          <w:sz w:val="22"/>
          <w:szCs w:val="22"/>
        </w:rPr>
        <w:t xml:space="preserve">All passwords must meet the following minimum standards, consistent with the Technijian WISP Section 4.2:</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Requirement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Minimum length</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14 characters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Complexity</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Mix of uppercase, lowercase, numbers, and special characters; or a passphrase of 4+ random words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Password reuse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 reuse of the last 12 passwords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Maximum age (standard accounts)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90 days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Maximum age (privileged accounts)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60 days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Account lockout</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After 5 consecutive failed attempts, 15-minute lockout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Breach database check</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Passwords checked against known breach databases at creation and rotation</w:t>
            </w:r>
          </w:p>
        </w:tc>
      </w:tr>
    </w:tbl>
    <w:p>
      <w:pPr>
        <w:spacing w:after="100"/>
      </w:pPr>
    </w:p>
    <w:p>
      <w:pPr>
        <w:spacing w:after="100" w:before="100"/>
      </w:pPr>
      <w:r>
        <w:rPr>
          <w:rFonts w:ascii="Arial" w:cs="Arial" w:eastAsia="Arial" w:hAnsi="Arial"/>
          <w:color w:val="333333"/>
          <w:sz w:val="22"/>
          <w:szCs w:val="22"/>
        </w:rPr>
        <w:t xml:space="preserve">Additional password rules:</w:t>
      </w:r>
    </w:p>
    <w:p>
      <w:pPr>
        <w:pStyle w:val="ListParagraph"/>
        <w:numPr>
          <w:ilvl w:val="0"/>
          <w:numId w:val="2"/>
        </w:numPr>
        <w:spacing w:after="50" w:before="50"/>
      </w:pPr>
      <w:r>
        <w:rPr>
          <w:rFonts w:ascii="Arial" w:cs="Arial" w:eastAsia="Arial" w:hAnsi="Arial"/>
          <w:color w:val="333333"/>
          <w:sz w:val="22"/>
          <w:szCs w:val="22"/>
        </w:rPr>
        <w:t xml:space="preserve">Passwords must not contain the user's name, username, or easily guessable personal information</w:t>
      </w:r>
    </w:p>
    <w:p>
      <w:pPr>
        <w:pStyle w:val="ListParagraph"/>
        <w:numPr>
          <w:ilvl w:val="0"/>
          <w:numId w:val="2"/>
        </w:numPr>
        <w:spacing w:after="50" w:before="50"/>
      </w:pPr>
      <w:r>
        <w:rPr>
          <w:rFonts w:ascii="Arial" w:cs="Arial" w:eastAsia="Arial" w:hAnsi="Arial"/>
          <w:color w:val="333333"/>
          <w:sz w:val="22"/>
          <w:szCs w:val="22"/>
        </w:rPr>
        <w:t xml:space="preserve">Password managers approved by Technijian IT Operations must be used for credential storage</w:t>
      </w:r>
    </w:p>
    <w:p>
      <w:pPr>
        <w:pStyle w:val="ListParagraph"/>
        <w:numPr>
          <w:ilvl w:val="0"/>
          <w:numId w:val="2"/>
        </w:numPr>
        <w:spacing w:after="50" w:before="50"/>
      </w:pPr>
      <w:r>
        <w:rPr>
          <w:rFonts w:ascii="Arial" w:cs="Arial" w:eastAsia="Arial" w:hAnsi="Arial"/>
          <w:color w:val="333333"/>
          <w:sz w:val="22"/>
          <w:szCs w:val="22"/>
        </w:rPr>
        <w:t xml:space="preserve">Default vendor passwords must be changed immediately upon system deployment</w:t>
      </w:r>
    </w:p>
    <w:p>
      <w:pPr>
        <w:pStyle w:val="Heading2"/>
        <w:spacing w:after="200" w:before="300"/>
      </w:pPr>
      <w:r>
        <w:rPr>
          <w:rFonts w:ascii="Arial" w:cs="Arial" w:eastAsia="Arial" w:hAnsi="Arial"/>
          <w:b/>
          <w:bCs/>
          <w:color w:val="0077B6"/>
          <w:sz w:val="26"/>
          <w:szCs w:val="26"/>
        </w:rPr>
        <w:t xml:space="preserve">5.3 Endpoint Protection</w:t>
      </w:r>
    </w:p>
    <w:p>
      <w:pPr>
        <w:spacing w:after="100" w:before="100"/>
      </w:pPr>
      <w:r>
        <w:rPr>
          <w:rFonts w:ascii="Arial" w:cs="Arial" w:eastAsia="Arial" w:hAnsi="Arial"/>
          <w:color w:val="333333"/>
          <w:sz w:val="22"/>
          <w:szCs w:val="22"/>
        </w:rPr>
        <w:t xml:space="preserve">All endpoints used to access Technijian or client systems must comply with the following:</w:t>
      </w:r>
    </w:p>
    <w:p>
      <w:pPr>
        <w:pStyle w:val="ListParagraph"/>
        <w:numPr>
          <w:ilvl w:val="0"/>
          <w:numId w:val="2"/>
        </w:numPr>
        <w:spacing w:after="50" w:before="50"/>
      </w:pPr>
      <w:r>
        <w:rPr>
          <w:rFonts w:ascii="Arial" w:cs="Arial" w:eastAsia="Arial" w:hAnsi="Arial"/>
          <w:b/>
          <w:bCs/>
          <w:color w:val="333333"/>
          <w:sz w:val="22"/>
          <w:szCs w:val="22"/>
        </w:rPr>
        <w:t xml:space="preserve">CrowdStrike Falcon EDR</w:t>
      </w:r>
      <w:r>
        <w:rPr>
          <w:rFonts w:ascii="Arial" w:cs="Arial" w:eastAsia="Arial" w:hAnsi="Arial"/>
          <w:color w:val="333333"/>
          <w:sz w:val="22"/>
          <w:szCs w:val="22"/>
        </w:rPr>
        <w:t xml:space="preserve"> must be installed, active, and reporting to the Technijian console. Endpoints without a functioning CrowdStrike sensor will be quarantined from the network</w:t>
      </w:r>
    </w:p>
    <w:p>
      <w:pPr>
        <w:pStyle w:val="ListParagraph"/>
        <w:numPr>
          <w:ilvl w:val="0"/>
          <w:numId w:val="2"/>
        </w:numPr>
        <w:spacing w:after="50" w:before="50"/>
      </w:pPr>
      <w:r>
        <w:rPr>
          <w:rFonts w:ascii="Arial" w:cs="Arial" w:eastAsia="Arial" w:hAnsi="Arial"/>
          <w:b/>
          <w:bCs/>
          <w:color w:val="333333"/>
          <w:sz w:val="22"/>
          <w:szCs w:val="22"/>
        </w:rPr>
        <w:t xml:space="preserve">Huntress</w:t>
      </w:r>
      <w:r>
        <w:rPr>
          <w:rFonts w:ascii="Arial" w:cs="Arial" w:eastAsia="Arial" w:hAnsi="Arial"/>
          <w:color w:val="333333"/>
          <w:sz w:val="22"/>
          <w:szCs w:val="22"/>
        </w:rPr>
        <w:t xml:space="preserve"> managed detection and response agent must be installed on all managed endpoints for persistent foothold detection and remediation</w:t>
      </w:r>
    </w:p>
    <w:p>
      <w:pPr>
        <w:pStyle w:val="ListParagraph"/>
        <w:numPr>
          <w:ilvl w:val="0"/>
          <w:numId w:val="2"/>
        </w:numPr>
        <w:spacing w:after="50" w:before="50"/>
      </w:pPr>
      <w:r>
        <w:rPr>
          <w:rFonts w:ascii="Arial" w:cs="Arial" w:eastAsia="Arial" w:hAnsi="Arial"/>
          <w:b/>
          <w:bCs/>
          <w:color w:val="333333"/>
          <w:sz w:val="22"/>
          <w:szCs w:val="22"/>
        </w:rPr>
        <w:t xml:space="preserve">Full-disk encryption</w:t>
      </w:r>
      <w:r>
        <w:rPr>
          <w:rFonts w:ascii="Arial" w:cs="Arial" w:eastAsia="Arial" w:hAnsi="Arial"/>
          <w:color w:val="333333"/>
          <w:sz w:val="22"/>
          <w:szCs w:val="22"/>
        </w:rPr>
        <w:t xml:space="preserve"> must be enabled (BitLocker with TPM on Windows, FileVault 2 on macOS)</w:t>
      </w:r>
    </w:p>
    <w:p>
      <w:pPr>
        <w:pStyle w:val="ListParagraph"/>
        <w:numPr>
          <w:ilvl w:val="0"/>
          <w:numId w:val="2"/>
        </w:numPr>
        <w:spacing w:after="50" w:before="50"/>
      </w:pPr>
      <w:r>
        <w:rPr>
          <w:rFonts w:ascii="Arial" w:cs="Arial" w:eastAsia="Arial" w:hAnsi="Arial"/>
          <w:b/>
          <w:bCs/>
          <w:color w:val="333333"/>
          <w:sz w:val="22"/>
          <w:szCs w:val="22"/>
        </w:rPr>
        <w:t xml:space="preserve">Operating system patches</w:t>
      </w:r>
      <w:r>
        <w:rPr>
          <w:rFonts w:ascii="Arial" w:cs="Arial" w:eastAsia="Arial" w:hAnsi="Arial"/>
          <w:color w:val="333333"/>
          <w:sz w:val="22"/>
          <w:szCs w:val="22"/>
        </w:rPr>
        <w:t xml:space="preserve"> must be current within compliance thresholds defined by vulnerability management SLAs (WISP Section 6.3)</w:t>
      </w:r>
    </w:p>
    <w:p>
      <w:pPr>
        <w:pStyle w:val="ListParagraph"/>
        <w:numPr>
          <w:ilvl w:val="0"/>
          <w:numId w:val="2"/>
        </w:numPr>
        <w:spacing w:after="50" w:before="50"/>
      </w:pPr>
      <w:r>
        <w:rPr>
          <w:rFonts w:ascii="Arial" w:cs="Arial" w:eastAsia="Arial" w:hAnsi="Arial"/>
          <w:b/>
          <w:bCs/>
          <w:color w:val="333333"/>
          <w:sz w:val="22"/>
          <w:szCs w:val="22"/>
        </w:rPr>
        <w:t xml:space="preserve">Automatic screen lock</w:t>
      </w:r>
      <w:r>
        <w:rPr>
          <w:rFonts w:ascii="Arial" w:cs="Arial" w:eastAsia="Arial" w:hAnsi="Arial"/>
          <w:color w:val="333333"/>
          <w:sz w:val="22"/>
          <w:szCs w:val="22"/>
        </w:rPr>
        <w:t xml:space="preserve"> must be configured to activate after no more than 5 minutes of inactivity</w:t>
      </w:r>
    </w:p>
    <w:p>
      <w:pPr>
        <w:pStyle w:val="ListParagraph"/>
        <w:numPr>
          <w:ilvl w:val="0"/>
          <w:numId w:val="2"/>
        </w:numPr>
        <w:spacing w:after="50" w:before="50"/>
      </w:pPr>
      <w:r>
        <w:rPr>
          <w:rFonts w:ascii="Arial" w:cs="Arial" w:eastAsia="Arial" w:hAnsi="Arial"/>
          <w:b/>
          <w:bCs/>
          <w:color w:val="333333"/>
          <w:sz w:val="22"/>
          <w:szCs w:val="22"/>
        </w:rPr>
        <w:t xml:space="preserve">BYOD devices</w:t>
      </w:r>
      <w:r>
        <w:rPr>
          <w:rFonts w:ascii="Arial" w:cs="Arial" w:eastAsia="Arial" w:hAnsi="Arial"/>
          <w:color w:val="333333"/>
          <w:sz w:val="22"/>
          <w:szCs w:val="22"/>
        </w:rPr>
        <w:t xml:space="preserve"> must be enrolled in mobile device management (MDM) and pass compliance checks before accessing corporate resources</w:t>
      </w:r>
    </w:p>
    <w:p>
      <w:pPr>
        <w:pStyle w:val="ListParagraph"/>
        <w:numPr>
          <w:ilvl w:val="0"/>
          <w:numId w:val="2"/>
        </w:numPr>
        <w:spacing w:after="50" w:before="50"/>
      </w:pPr>
      <w:r>
        <w:rPr>
          <w:rFonts w:ascii="Arial" w:cs="Arial" w:eastAsia="Arial" w:hAnsi="Arial"/>
          <w:color w:val="333333"/>
          <w:sz w:val="22"/>
          <w:szCs w:val="22"/>
        </w:rPr>
        <w:t xml:space="preserve">Users must not disable, uninstall, or interfere with any endpoint security agent</w:t>
      </w:r>
    </w:p>
    <w:p>
      <w:pPr>
        <w:pStyle w:val="Heading1"/>
        <w:pageBreakBefore/>
      </w:pPr>
      <w:r>
        <w:rPr>
          <w:rFonts w:ascii="Arial" w:cs="Arial" w:eastAsia="Arial" w:hAnsi="Arial"/>
          <w:b/>
          <w:bCs/>
          <w:color w:val="0077B6"/>
          <w:sz w:val="32"/>
          <w:szCs w:val="32"/>
        </w:rPr>
        <w:t xml:space="preserve">6. Monitoring and Logging</w:t>
      </w:r>
    </w:p>
    <w:p>
      <w:pPr>
        <w:pStyle w:val="Heading2"/>
        <w:spacing w:after="200" w:before="300"/>
      </w:pPr>
      <w:r>
        <w:rPr>
          <w:rFonts w:ascii="Arial" w:cs="Arial" w:eastAsia="Arial" w:hAnsi="Arial"/>
          <w:b/>
          <w:bCs/>
          <w:color w:val="0077B6"/>
          <w:sz w:val="26"/>
          <w:szCs w:val="26"/>
        </w:rPr>
        <w:t xml:space="preserve">6.1 No Expectation of Privacy</w:t>
      </w:r>
    </w:p>
    <w:p>
      <w:pPr>
        <w:spacing w:after="100" w:before="100"/>
      </w:pPr>
      <w:r>
        <w:rPr>
          <w:rFonts w:ascii="Arial" w:cs="Arial" w:eastAsia="Arial" w:hAnsi="Arial"/>
          <w:b/>
          <w:bCs/>
          <w:color w:val="333333"/>
          <w:sz w:val="22"/>
          <w:szCs w:val="22"/>
        </w:rPr>
        <w:t xml:space="preserve">Users have no expectation of privacy when using Technijian resources or accessing Technijian or client systems.</w:t>
      </w:r>
      <w:r>
        <w:rPr>
          <w:rFonts w:ascii="Arial" w:cs="Arial" w:eastAsia="Arial" w:hAnsi="Arial"/>
          <w:color w:val="333333"/>
          <w:sz w:val="22"/>
          <w:szCs w:val="22"/>
        </w:rPr>
        <w:t xml:space="preserve"> By using Technijian resources, users acknowledge and consent to monitoring of all activities conducted on or through those resources.</w:t>
      </w:r>
    </w:p>
    <w:p>
      <w:pPr>
        <w:pStyle w:val="Heading2"/>
        <w:spacing w:after="200" w:before="300"/>
      </w:pPr>
      <w:r>
        <w:rPr>
          <w:rFonts w:ascii="Arial" w:cs="Arial" w:eastAsia="Arial" w:hAnsi="Arial"/>
          <w:b/>
          <w:bCs/>
          <w:color w:val="0077B6"/>
          <w:sz w:val="26"/>
          <w:szCs w:val="26"/>
        </w:rPr>
        <w:t xml:space="preserve">6.2 Monitoring Scope</w:t>
      </w:r>
    </w:p>
    <w:p>
      <w:pPr>
        <w:spacing w:after="100" w:before="100"/>
      </w:pPr>
      <w:r>
        <w:rPr>
          <w:rFonts w:ascii="Arial" w:cs="Arial" w:eastAsia="Arial" w:hAnsi="Arial"/>
          <w:color w:val="333333"/>
          <w:sz w:val="22"/>
          <w:szCs w:val="22"/>
        </w:rPr>
        <w:t xml:space="preserve">Technijian reserves the right to monitor, log, audit, intercept, and review all activities on company resources, including but not limited to:</w:t>
      </w:r>
    </w:p>
    <w:p>
      <w:pPr>
        <w:pStyle w:val="ListParagraph"/>
        <w:numPr>
          <w:ilvl w:val="0"/>
          <w:numId w:val="2"/>
        </w:numPr>
        <w:spacing w:after="50" w:before="50"/>
      </w:pPr>
      <w:r>
        <w:rPr>
          <w:rFonts w:ascii="Arial" w:cs="Arial" w:eastAsia="Arial" w:hAnsi="Arial"/>
          <w:color w:val="333333"/>
          <w:sz w:val="22"/>
          <w:szCs w:val="22"/>
        </w:rPr>
        <w:t xml:space="preserve">Internet browsing history and web traffic</w:t>
      </w:r>
    </w:p>
    <w:p>
      <w:pPr>
        <w:pStyle w:val="ListParagraph"/>
        <w:numPr>
          <w:ilvl w:val="0"/>
          <w:numId w:val="2"/>
        </w:numPr>
        <w:spacing w:after="50" w:before="50"/>
      </w:pPr>
      <w:r>
        <w:rPr>
          <w:rFonts w:ascii="Arial" w:cs="Arial" w:eastAsia="Arial" w:hAnsi="Arial"/>
          <w:color w:val="333333"/>
          <w:sz w:val="22"/>
          <w:szCs w:val="22"/>
        </w:rPr>
        <w:t xml:space="preserve">Email communications (sent, received, and drafted) on Technijian email systems</w:t>
      </w:r>
    </w:p>
    <w:p>
      <w:pPr>
        <w:pStyle w:val="ListParagraph"/>
        <w:numPr>
          <w:ilvl w:val="0"/>
          <w:numId w:val="2"/>
        </w:numPr>
        <w:spacing w:after="50" w:before="50"/>
      </w:pPr>
      <w:r>
        <w:rPr>
          <w:rFonts w:ascii="Arial" w:cs="Arial" w:eastAsia="Arial" w:hAnsi="Arial"/>
          <w:color w:val="333333"/>
          <w:sz w:val="22"/>
          <w:szCs w:val="22"/>
        </w:rPr>
        <w:t xml:space="preserve">File transfers, downloads, and uploads</w:t>
      </w:r>
    </w:p>
    <w:p>
      <w:pPr>
        <w:pStyle w:val="ListParagraph"/>
        <w:numPr>
          <w:ilvl w:val="0"/>
          <w:numId w:val="2"/>
        </w:numPr>
        <w:spacing w:after="50" w:before="50"/>
      </w:pPr>
      <w:r>
        <w:rPr>
          <w:rFonts w:ascii="Arial" w:cs="Arial" w:eastAsia="Arial" w:hAnsi="Arial"/>
          <w:color w:val="333333"/>
          <w:sz w:val="22"/>
          <w:szCs w:val="22"/>
        </w:rPr>
        <w:t xml:space="preserve">Application usage and installed software</w:t>
      </w:r>
    </w:p>
    <w:p>
      <w:pPr>
        <w:pStyle w:val="ListParagraph"/>
        <w:numPr>
          <w:ilvl w:val="0"/>
          <w:numId w:val="2"/>
        </w:numPr>
        <w:spacing w:after="50" w:before="50"/>
      </w:pPr>
      <w:r>
        <w:rPr>
          <w:rFonts w:ascii="Arial" w:cs="Arial" w:eastAsia="Arial" w:hAnsi="Arial"/>
          <w:color w:val="333333"/>
          <w:sz w:val="22"/>
          <w:szCs w:val="22"/>
        </w:rPr>
        <w:t xml:space="preserve">Network traffic and connection logs</w:t>
      </w:r>
    </w:p>
    <w:p>
      <w:pPr>
        <w:pStyle w:val="ListParagraph"/>
        <w:numPr>
          <w:ilvl w:val="0"/>
          <w:numId w:val="2"/>
        </w:numPr>
        <w:spacing w:after="50" w:before="50"/>
      </w:pPr>
      <w:r>
        <w:rPr>
          <w:rFonts w:ascii="Arial" w:cs="Arial" w:eastAsia="Arial" w:hAnsi="Arial"/>
          <w:color w:val="333333"/>
          <w:sz w:val="22"/>
          <w:szCs w:val="22"/>
        </w:rPr>
        <w:t xml:space="preserve">Remote access sessions (VPN, RDP, RMM)</w:t>
      </w:r>
    </w:p>
    <w:p>
      <w:pPr>
        <w:pStyle w:val="ListParagraph"/>
        <w:numPr>
          <w:ilvl w:val="0"/>
          <w:numId w:val="2"/>
        </w:numPr>
        <w:spacing w:after="50" w:before="50"/>
      </w:pPr>
      <w:r>
        <w:rPr>
          <w:rFonts w:ascii="Arial" w:cs="Arial" w:eastAsia="Arial" w:hAnsi="Arial"/>
          <w:color w:val="333333"/>
          <w:sz w:val="22"/>
          <w:szCs w:val="22"/>
        </w:rPr>
        <w:t xml:space="preserve">Endpoint telemetry collected by CrowdStrike Falcon and ManageEngine Endpoint Central Plus</w:t>
      </w:r>
    </w:p>
    <w:p>
      <w:pPr>
        <w:pStyle w:val="ListParagraph"/>
        <w:numPr>
          <w:ilvl w:val="0"/>
          <w:numId w:val="2"/>
        </w:numPr>
        <w:spacing w:after="50" w:before="50"/>
      </w:pPr>
      <w:r>
        <w:rPr>
          <w:rFonts w:ascii="Arial" w:cs="Arial" w:eastAsia="Arial" w:hAnsi="Arial"/>
          <w:color w:val="333333"/>
          <w:sz w:val="22"/>
          <w:szCs w:val="22"/>
        </w:rPr>
        <w:t xml:space="preserve">Authentication events, including successful and failed login attempts</w:t>
      </w:r>
    </w:p>
    <w:p>
      <w:pPr>
        <w:pStyle w:val="ListParagraph"/>
        <w:numPr>
          <w:ilvl w:val="0"/>
          <w:numId w:val="2"/>
        </w:numPr>
        <w:spacing w:after="50" w:before="50"/>
      </w:pPr>
      <w:r>
        <w:rPr>
          <w:rFonts w:ascii="Arial" w:cs="Arial" w:eastAsia="Arial" w:hAnsi="Arial"/>
          <w:color w:val="333333"/>
          <w:sz w:val="22"/>
          <w:szCs w:val="22"/>
        </w:rPr>
        <w:t xml:space="preserve">Cloud service usage and data sharing activities within Microsoft 365 and other platforms</w:t>
      </w:r>
    </w:p>
    <w:p>
      <w:pPr>
        <w:pStyle w:val="ListParagraph"/>
        <w:numPr>
          <w:ilvl w:val="0"/>
          <w:numId w:val="2"/>
        </w:numPr>
        <w:spacing w:after="50" w:before="50"/>
      </w:pPr>
      <w:r>
        <w:rPr>
          <w:rFonts w:ascii="Arial" w:cs="Arial" w:eastAsia="Arial" w:hAnsi="Arial"/>
          <w:color w:val="333333"/>
          <w:sz w:val="22"/>
          <w:szCs w:val="22"/>
        </w:rPr>
        <w:t xml:space="preserve">Chat and messaging communications conducted through Technijian-managed platforms</w:t>
      </w:r>
    </w:p>
    <w:p>
      <w:pPr>
        <w:pStyle w:val="Heading2"/>
        <w:spacing w:after="200" w:before="300"/>
      </w:pPr>
      <w:r>
        <w:rPr>
          <w:rFonts w:ascii="Arial" w:cs="Arial" w:eastAsia="Arial" w:hAnsi="Arial"/>
          <w:b/>
          <w:bCs/>
          <w:color w:val="0077B6"/>
          <w:sz w:val="26"/>
          <w:szCs w:val="26"/>
        </w:rPr>
        <w:t xml:space="preserve">6.3 Monitoring Tools</w:t>
      </w:r>
    </w:p>
    <w:p>
      <w:pPr>
        <w:spacing w:after="100" w:before="100"/>
      </w:pPr>
      <w:r>
        <w:rPr>
          <w:rFonts w:ascii="Arial" w:cs="Arial" w:eastAsia="Arial" w:hAnsi="Arial"/>
          <w:color w:val="333333"/>
          <w:sz w:val="22"/>
          <w:szCs w:val="22"/>
        </w:rPr>
        <w:t xml:space="preserve">Technijian uses the following tools for monitoring and logging: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Tool</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Monitoring Scope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CrowdStrike Falcon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detection, process execution, threat telemetry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ManageEngine Endpoint Central Plus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compliance, patch status, software inventory, remote management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Huntress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Persistent threat detection, managed threat hunting</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Microsoft 365 Security Center</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Email security, conditional access, DLP alerts, audit logs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Veeam</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 status, recovery point monitoring</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Firewall / Network Appliances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Traffic logs, IDS/IPS alerts, connection tracking</w:t>
            </w:r>
          </w:p>
        </w:tc>
      </w:tr>
    </w:tbl>
    <w:p>
      <w:pPr>
        <w:spacing w:after="100"/>
      </w:pPr>
    </w:p>
    <w:p>
      <w:pPr>
        <w:pStyle w:val="Heading2"/>
        <w:spacing w:after="200" w:before="300"/>
      </w:pPr>
      <w:r>
        <w:rPr>
          <w:rFonts w:ascii="Arial" w:cs="Arial" w:eastAsia="Arial" w:hAnsi="Arial"/>
          <w:b/>
          <w:bCs/>
          <w:color w:val="0077B6"/>
          <w:sz w:val="26"/>
          <w:szCs w:val="26"/>
        </w:rPr>
        <w:t xml:space="preserve">6.4 Log Retention</w:t>
      </w:r>
    </w:p>
    <w:p>
      <w:pPr>
        <w:pStyle w:val="ListParagraph"/>
        <w:numPr>
          <w:ilvl w:val="0"/>
          <w:numId w:val="2"/>
        </w:numPr>
        <w:spacing w:after="50" w:before="50"/>
      </w:pPr>
      <w:r>
        <w:rPr>
          <w:rFonts w:ascii="Arial" w:cs="Arial" w:eastAsia="Arial" w:hAnsi="Arial"/>
          <w:color w:val="333333"/>
          <w:sz w:val="22"/>
          <w:szCs w:val="22"/>
        </w:rPr>
        <w:t xml:space="preserve">Security and access logs are retained for a minimum of 1 year online, with 3 years of archived storage</w:t>
      </w:r>
    </w:p>
    <w:p>
      <w:pPr>
        <w:pStyle w:val="ListParagraph"/>
        <w:numPr>
          <w:ilvl w:val="0"/>
          <w:numId w:val="2"/>
        </w:numPr>
        <w:spacing w:after="50" w:before="50"/>
      </w:pPr>
      <w:r>
        <w:rPr>
          <w:rFonts w:ascii="Arial" w:cs="Arial" w:eastAsia="Arial" w:hAnsi="Arial"/>
          <w:color w:val="333333"/>
          <w:sz w:val="22"/>
          <w:szCs w:val="22"/>
        </w:rPr>
        <w:t xml:space="preserve">Logs may be retained longer as required by specific regulatory obligations or legal hold requirements</w:t>
      </w:r>
    </w:p>
    <w:p>
      <w:pPr>
        <w:pStyle w:val="Heading2"/>
        <w:spacing w:after="200" w:before="300"/>
      </w:pPr>
      <w:r>
        <w:rPr>
          <w:rFonts w:ascii="Arial" w:cs="Arial" w:eastAsia="Arial" w:hAnsi="Arial"/>
          <w:b/>
          <w:bCs/>
          <w:color w:val="0077B6"/>
          <w:sz w:val="26"/>
          <w:szCs w:val="26"/>
        </w:rPr>
        <w:t xml:space="preserve">6.5 Use of Monitoring Data</w:t>
      </w:r>
    </w:p>
    <w:p>
      <w:pPr>
        <w:spacing w:after="100" w:before="100"/>
      </w:pPr>
      <w:r>
        <w:rPr>
          <w:rFonts w:ascii="Arial" w:cs="Arial" w:eastAsia="Arial" w:hAnsi="Arial"/>
          <w:color w:val="333333"/>
          <w:sz w:val="22"/>
          <w:szCs w:val="22"/>
        </w:rPr>
        <w:t xml:space="preserve">Monitoring data may be used for:</w:t>
      </w:r>
    </w:p>
    <w:p>
      <w:pPr>
        <w:pStyle w:val="ListParagraph"/>
        <w:numPr>
          <w:ilvl w:val="0"/>
          <w:numId w:val="2"/>
        </w:numPr>
        <w:spacing w:after="50" w:before="50"/>
      </w:pPr>
      <w:r>
        <w:rPr>
          <w:rFonts w:ascii="Arial" w:cs="Arial" w:eastAsia="Arial" w:hAnsi="Arial"/>
          <w:color w:val="333333"/>
          <w:sz w:val="22"/>
          <w:szCs w:val="22"/>
        </w:rPr>
        <w:t xml:space="preserve">Investigating security incidents and policy violations</w:t>
      </w:r>
    </w:p>
    <w:p>
      <w:pPr>
        <w:pStyle w:val="ListParagraph"/>
        <w:numPr>
          <w:ilvl w:val="0"/>
          <w:numId w:val="2"/>
        </w:numPr>
        <w:spacing w:after="50" w:before="50"/>
      </w:pPr>
      <w:r>
        <w:rPr>
          <w:rFonts w:ascii="Arial" w:cs="Arial" w:eastAsia="Arial" w:hAnsi="Arial"/>
          <w:color w:val="333333"/>
          <w:sz w:val="22"/>
          <w:szCs w:val="22"/>
        </w:rPr>
        <w:t xml:space="preserve">Supporting forensic analysis and incident response</w:t>
      </w:r>
    </w:p>
    <w:p>
      <w:pPr>
        <w:pStyle w:val="ListParagraph"/>
        <w:numPr>
          <w:ilvl w:val="0"/>
          <w:numId w:val="2"/>
        </w:numPr>
        <w:spacing w:after="50" w:before="50"/>
      </w:pPr>
      <w:r>
        <w:rPr>
          <w:rFonts w:ascii="Arial" w:cs="Arial" w:eastAsia="Arial" w:hAnsi="Arial"/>
          <w:color w:val="333333"/>
          <w:sz w:val="22"/>
          <w:szCs w:val="22"/>
        </w:rPr>
        <w:t xml:space="preserve">Providing evidence in disciplinary proceedings, legal actions, or regulatory investigations</w:t>
      </w:r>
    </w:p>
    <w:p>
      <w:pPr>
        <w:pStyle w:val="ListParagraph"/>
        <w:numPr>
          <w:ilvl w:val="0"/>
          <w:numId w:val="2"/>
        </w:numPr>
        <w:spacing w:after="50" w:before="50"/>
      </w:pPr>
      <w:r>
        <w:rPr>
          <w:rFonts w:ascii="Arial" w:cs="Arial" w:eastAsia="Arial" w:hAnsi="Arial"/>
          <w:color w:val="333333"/>
          <w:sz w:val="22"/>
          <w:szCs w:val="22"/>
        </w:rPr>
        <w:t xml:space="preserve">Identifying performance issues and optimizing system operations</w:t>
      </w:r>
    </w:p>
    <w:p>
      <w:pPr>
        <w:pStyle w:val="ListParagraph"/>
        <w:numPr>
          <w:ilvl w:val="0"/>
          <w:numId w:val="2"/>
        </w:numPr>
        <w:spacing w:after="50" w:before="50"/>
      </w:pPr>
      <w:r>
        <w:rPr>
          <w:rFonts w:ascii="Arial" w:cs="Arial" w:eastAsia="Arial" w:hAnsi="Arial"/>
          <w:color w:val="333333"/>
          <w:sz w:val="22"/>
          <w:szCs w:val="22"/>
        </w:rPr>
        <w:t xml:space="preserve">Verifying compliance with this policy and applicable regulations</w:t>
      </w:r>
    </w:p>
    <w:p>
      <w:pPr>
        <w:pStyle w:val="Heading1"/>
        <w:pageBreakBefore/>
      </w:pPr>
      <w:r>
        <w:rPr>
          <w:rFonts w:ascii="Arial" w:cs="Arial" w:eastAsia="Arial" w:hAnsi="Arial"/>
          <w:b/>
          <w:bCs/>
          <w:color w:val="0077B6"/>
          <w:sz w:val="32"/>
          <w:szCs w:val="32"/>
        </w:rPr>
        <w:t xml:space="preserve">7. Data Storage and Handling</w:t>
      </w:r>
    </w:p>
    <w:p>
      <w:pPr>
        <w:pStyle w:val="Heading2"/>
        <w:spacing w:after="200" w:before="300"/>
      </w:pPr>
      <w:r>
        <w:rPr>
          <w:rFonts w:ascii="Arial" w:cs="Arial" w:eastAsia="Arial" w:hAnsi="Arial"/>
          <w:b/>
          <w:bCs/>
          <w:color w:val="0077B6"/>
          <w:sz w:val="26"/>
          <w:szCs w:val="26"/>
        </w:rPr>
        <w:t xml:space="preserve">7.1 Approved Storage Locations</w:t>
      </w:r>
    </w:p>
    <w:p>
      <w:pPr>
        <w:spacing w:after="100" w:before="100"/>
      </w:pPr>
      <w:r>
        <w:rPr>
          <w:rFonts w:ascii="Arial" w:cs="Arial" w:eastAsia="Arial" w:hAnsi="Arial"/>
          <w:color w:val="333333"/>
          <w:sz w:val="22"/>
          <w:szCs w:val="22"/>
        </w:rPr>
        <w:t xml:space="preserve">Technijian data must be stored only in approved locations: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Data Classification</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Approved Storage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Prohibited Storage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r>
              <w:rPr>
                <w:rFonts w:ascii="Arial" w:cs="Arial" w:eastAsia="Arial" w:hAnsi="Arial"/>
                <w:b w:val="false"/>
                <w:bCs w:val="false"/>
                <w:color w:val="333333"/>
                <w:sz w:val="19"/>
                <w:szCs w:val="19"/>
              </w:rPr>
              <w:t xml:space="preserve"> (PHI, PCI, NPI, credentials)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databases with TDE, encrypted file shares, approved cloud services with BAA/DPA in place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Personal devices, personal cloud storage, email attachments, USB drives, public repositories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Company-managed SharePoint/OneDrive, encrypted file shares, approved SaaS platforms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Personal cloud storage, unencrypted removable media, public repositories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Company-managed SharePoint/OneDrive, internal file shares, approved collaboration platforms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Public repositories, personal social media</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Public</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Any approved platform after management approval</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w:t>
            </w:r>
          </w:p>
        </w:tc>
      </w:tr>
    </w:tbl>
    <w:p>
      <w:pPr>
        <w:spacing w:after="100"/>
      </w:pPr>
    </w:p>
    <w:p>
      <w:pPr>
        <w:pStyle w:val="Heading2"/>
        <w:spacing w:after="200" w:before="300"/>
      </w:pPr>
      <w:r>
        <w:rPr>
          <w:rFonts w:ascii="Arial" w:cs="Arial" w:eastAsia="Arial" w:hAnsi="Arial"/>
          <w:b/>
          <w:bCs/>
          <w:color w:val="0077B6"/>
          <w:sz w:val="26"/>
          <w:szCs w:val="26"/>
        </w:rPr>
        <w:t xml:space="preserve">7.2 Data Handling Rules</w:t>
      </w:r>
    </w:p>
    <w:p>
      <w:pPr>
        <w:pStyle w:val="ListParagraph"/>
        <w:numPr>
          <w:ilvl w:val="0"/>
          <w:numId w:val="2"/>
        </w:numPr>
        <w:spacing w:after="50" w:before="50"/>
      </w:pPr>
      <w:r>
        <w:rPr>
          <w:rFonts w:ascii="Arial" w:cs="Arial" w:eastAsia="Arial" w:hAnsi="Arial"/>
          <w:color w:val="333333"/>
          <w:sz w:val="22"/>
          <w:szCs w:val="22"/>
        </w:rPr>
        <w:t xml:space="preserve">All Restricted and Confidential data must be encrypted at rest (AES-256) and in transit (TLS 1.2+)</w:t>
      </w:r>
    </w:p>
    <w:p>
      <w:pPr>
        <w:pStyle w:val="ListParagraph"/>
        <w:numPr>
          <w:ilvl w:val="0"/>
          <w:numId w:val="2"/>
        </w:numPr>
        <w:spacing w:after="50" w:before="50"/>
      </w:pPr>
      <w:r>
        <w:rPr>
          <w:rFonts w:ascii="Arial" w:cs="Arial" w:eastAsia="Arial" w:hAnsi="Arial"/>
          <w:color w:val="333333"/>
          <w:sz w:val="22"/>
          <w:szCs w:val="22"/>
        </w:rPr>
        <w:t xml:space="preserve">USB drives and removable media may not be used for Restricted data. Use of removable media for Confidential data requires Security Officer approval and must use hardware-encrypted devices</w:t>
      </w:r>
    </w:p>
    <w:p>
      <w:pPr>
        <w:pStyle w:val="ListParagraph"/>
        <w:numPr>
          <w:ilvl w:val="0"/>
          <w:numId w:val="2"/>
        </w:numPr>
        <w:spacing w:after="50" w:before="50"/>
      </w:pPr>
      <w:r>
        <w:rPr>
          <w:rFonts w:ascii="Arial" w:cs="Arial" w:eastAsia="Arial" w:hAnsi="Arial"/>
          <w:color w:val="333333"/>
          <w:sz w:val="22"/>
          <w:szCs w:val="22"/>
        </w:rPr>
        <w:t xml:space="preserve">Data must be classified and labeled according to the Technijian Data Classification scheme (WISP Section 5.1)</w:t>
      </w:r>
    </w:p>
    <w:p>
      <w:pPr>
        <w:pStyle w:val="ListParagraph"/>
        <w:numPr>
          <w:ilvl w:val="0"/>
          <w:numId w:val="2"/>
        </w:numPr>
        <w:spacing w:after="50" w:before="50"/>
      </w:pPr>
      <w:r>
        <w:rPr>
          <w:rFonts w:ascii="Arial" w:cs="Arial" w:eastAsia="Arial" w:hAnsi="Arial"/>
          <w:color w:val="333333"/>
          <w:sz w:val="22"/>
          <w:szCs w:val="22"/>
        </w:rPr>
        <w:t xml:space="preserve">Printing of Restricted data requires business justification. Printed Restricted documents must be retrieved immediately, stored securely, and destroyed via cross-cut shredding (minimum P-4) when no longer needed</w:t>
      </w:r>
    </w:p>
    <w:p>
      <w:pPr>
        <w:pStyle w:val="ListParagraph"/>
        <w:numPr>
          <w:ilvl w:val="0"/>
          <w:numId w:val="2"/>
        </w:numPr>
        <w:spacing w:after="50" w:before="50"/>
      </w:pPr>
      <w:r>
        <w:rPr>
          <w:rFonts w:ascii="Arial" w:cs="Arial" w:eastAsia="Arial" w:hAnsi="Arial"/>
          <w:color w:val="333333"/>
          <w:sz w:val="22"/>
          <w:szCs w:val="22"/>
        </w:rPr>
        <w:t xml:space="preserve">Data transfers to external parties require encryption and must use approved methods (SFTP, encrypted email, approved file sharing with link expiration)</w:t>
      </w:r>
    </w:p>
    <w:p>
      <w:pPr>
        <w:pStyle w:val="Heading2"/>
        <w:spacing w:after="200" w:before="300"/>
      </w:pPr>
      <w:r>
        <w:rPr>
          <w:rFonts w:ascii="Arial" w:cs="Arial" w:eastAsia="Arial" w:hAnsi="Arial"/>
          <w:b/>
          <w:bCs/>
          <w:color w:val="0077B6"/>
          <w:sz w:val="26"/>
          <w:szCs w:val="26"/>
        </w:rPr>
        <w:t xml:space="preserve">7.3 Data Destruction</w:t>
      </w:r>
    </w:p>
    <w:p>
      <w:pPr>
        <w:spacing w:after="100" w:before="100"/>
      </w:pPr>
      <w:r>
        <w:rPr>
          <w:rFonts w:ascii="Arial" w:cs="Arial" w:eastAsia="Arial" w:hAnsi="Arial"/>
          <w:color w:val="333333"/>
          <w:sz w:val="22"/>
          <w:szCs w:val="22"/>
        </w:rPr>
        <w:t xml:space="preserve">When data reaches the end of its retention period or is no longer needed:</w:t>
      </w:r>
    </w:p>
    <w:p>
      <w:pPr>
        <w:pStyle w:val="ListParagraph"/>
        <w:numPr>
          <w:ilvl w:val="0"/>
          <w:numId w:val="2"/>
        </w:numPr>
        <w:spacing w:after="50" w:before="50"/>
      </w:pPr>
      <w:r>
        <w:rPr>
          <w:rFonts w:ascii="Arial" w:cs="Arial" w:eastAsia="Arial" w:hAnsi="Arial"/>
          <w:color w:val="333333"/>
          <w:sz w:val="22"/>
          <w:szCs w:val="22"/>
        </w:rPr>
        <w:t xml:space="preserve">Electronic data must be destroyed per NIST SP 800-88 guidelines as specified in the WISP Section 5.3</w:t>
      </w:r>
    </w:p>
    <w:p>
      <w:pPr>
        <w:pStyle w:val="ListParagraph"/>
        <w:numPr>
          <w:ilvl w:val="0"/>
          <w:numId w:val="2"/>
        </w:numPr>
        <w:spacing w:after="50" w:before="50"/>
      </w:pPr>
      <w:r>
        <w:rPr>
          <w:rFonts w:ascii="Arial" w:cs="Arial" w:eastAsia="Arial" w:hAnsi="Arial"/>
          <w:color w:val="333333"/>
          <w:sz w:val="22"/>
          <w:szCs w:val="22"/>
        </w:rPr>
        <w:t xml:space="preserve">Paper documents must be cross-cut shredded (minimum P-4 per DIN 66399)</w:t>
      </w:r>
    </w:p>
    <w:p>
      <w:pPr>
        <w:pStyle w:val="ListParagraph"/>
        <w:numPr>
          <w:ilvl w:val="0"/>
          <w:numId w:val="2"/>
        </w:numPr>
        <w:spacing w:after="50" w:before="50"/>
      </w:pPr>
      <w:r>
        <w:rPr>
          <w:rFonts w:ascii="Arial" w:cs="Arial" w:eastAsia="Arial" w:hAnsi="Arial"/>
          <w:color w:val="333333"/>
          <w:sz w:val="22"/>
          <w:szCs w:val="22"/>
        </w:rPr>
        <w:t xml:space="preserve">Certificates of destruction are required for Restricted and Confidential data</w:t>
      </w:r>
    </w:p>
    <w:p>
      <w:pPr>
        <w:pStyle w:val="ListParagraph"/>
        <w:numPr>
          <w:ilvl w:val="0"/>
          <w:numId w:val="2"/>
        </w:numPr>
        <w:spacing w:after="50" w:before="50"/>
      </w:pPr>
      <w:r>
        <w:rPr>
          <w:rFonts w:ascii="Arial" w:cs="Arial" w:eastAsia="Arial" w:hAnsi="Arial"/>
          <w:color w:val="333333"/>
          <w:sz w:val="22"/>
          <w:szCs w:val="22"/>
        </w:rPr>
        <w:t xml:space="preserve">Users must not attempt to destroy data that is subject to a legal hold, audit, or regulatory investigation</w:t>
      </w:r>
    </w:p>
    <w:p>
      <w:pPr>
        <w:pStyle w:val="Heading1"/>
        <w:pageBreakBefore/>
      </w:pPr>
      <w:r>
        <w:rPr>
          <w:rFonts w:ascii="Arial" w:cs="Arial" w:eastAsia="Arial" w:hAnsi="Arial"/>
          <w:b/>
          <w:bCs/>
          <w:color w:val="0077B6"/>
          <w:sz w:val="32"/>
          <w:szCs w:val="32"/>
        </w:rPr>
        <w:t xml:space="preserve">8. Email and Communications</w:t>
      </w:r>
    </w:p>
    <w:p>
      <w:pPr>
        <w:pStyle w:val="Heading2"/>
        <w:spacing w:after="200" w:before="300"/>
      </w:pPr>
      <w:r>
        <w:rPr>
          <w:rFonts w:ascii="Arial" w:cs="Arial" w:eastAsia="Arial" w:hAnsi="Arial"/>
          <w:b/>
          <w:bCs/>
          <w:color w:val="0077B6"/>
          <w:sz w:val="26"/>
          <w:szCs w:val="26"/>
        </w:rPr>
        <w:t xml:space="preserve">8.1 Email Usage</w:t>
      </w:r>
    </w:p>
    <w:p>
      <w:pPr>
        <w:pStyle w:val="ListParagraph"/>
        <w:numPr>
          <w:ilvl w:val="0"/>
          <w:numId w:val="2"/>
        </w:numPr>
        <w:spacing w:after="50" w:before="50"/>
      </w:pPr>
      <w:r>
        <w:rPr>
          <w:rFonts w:ascii="Arial" w:cs="Arial" w:eastAsia="Arial" w:hAnsi="Arial"/>
          <w:color w:val="333333"/>
          <w:sz w:val="22"/>
          <w:szCs w:val="22"/>
        </w:rPr>
        <w:t xml:space="preserve">Technijian email accounts are provided for business purposes. Limited personal use is permitted per Section 3.2</w:t>
      </w:r>
    </w:p>
    <w:p>
      <w:pPr>
        <w:pStyle w:val="ListParagraph"/>
        <w:numPr>
          <w:ilvl w:val="0"/>
          <w:numId w:val="2"/>
        </w:numPr>
        <w:spacing w:after="50" w:before="50"/>
      </w:pPr>
      <w:r>
        <w:rPr>
          <w:rFonts w:ascii="Arial" w:cs="Arial" w:eastAsia="Arial" w:hAnsi="Arial"/>
          <w:color w:val="333333"/>
          <w:sz w:val="22"/>
          <w:szCs w:val="22"/>
        </w:rPr>
        <w:t xml:space="preserve">Users must not use personal email accounts for Technijian business communications, particularly when Restricted or Confidential data is involved</w:t>
      </w:r>
    </w:p>
    <w:p>
      <w:pPr>
        <w:pStyle w:val="ListParagraph"/>
        <w:numPr>
          <w:ilvl w:val="0"/>
          <w:numId w:val="2"/>
        </w:numPr>
        <w:spacing w:after="50" w:before="50"/>
      </w:pPr>
      <w:r>
        <w:rPr>
          <w:rFonts w:ascii="Arial" w:cs="Arial" w:eastAsia="Arial" w:hAnsi="Arial"/>
          <w:color w:val="333333"/>
          <w:sz w:val="22"/>
          <w:szCs w:val="22"/>
        </w:rPr>
        <w:t xml:space="preserve">All outbound email from Technijian domains is authenticated via SPF, DKIM, and DMARC (DMARC policy: </w:t>
      </w:r>
      <w:r>
        <w:rPr>
          <w:rFonts w:ascii="Consolas" w:cs="Consolas" w:eastAsia="Consolas" w:hAnsi="Consolas"/>
          <w:color w:val="333333"/>
          <w:sz w:val="22"/>
          <w:szCs w:val="22"/>
        </w:rPr>
        <w:t xml:space="preserve">p=reject</w:t>
      </w:r>
      <w:r>
        <w:rPr>
          <w:rFonts w:ascii="Arial" w:cs="Arial" w:eastAsia="Arial" w:hAnsi="Arial"/>
          <w:color w:val="333333"/>
          <w:sz w:val="22"/>
          <w:szCs w:val="22"/>
        </w:rPr>
        <w:t xml:space="preserve">)</w:t>
      </w:r>
    </w:p>
    <w:p>
      <w:pPr>
        <w:pStyle w:val="ListParagraph"/>
        <w:numPr>
          <w:ilvl w:val="0"/>
          <w:numId w:val="2"/>
        </w:numPr>
        <w:spacing w:after="50" w:before="50"/>
      </w:pPr>
      <w:r>
        <w:rPr>
          <w:rFonts w:ascii="Arial" w:cs="Arial" w:eastAsia="Arial" w:hAnsi="Arial"/>
          <w:color w:val="333333"/>
          <w:sz w:val="22"/>
          <w:szCs w:val="22"/>
        </w:rPr>
        <w:t xml:space="preserve">External emails are tagged with warning banners to alert recipients of external origin</w:t>
      </w:r>
    </w:p>
    <w:p>
      <w:pPr>
        <w:pStyle w:val="Heading2"/>
        <w:spacing w:after="200" w:before="300"/>
      </w:pPr>
      <w:r>
        <w:rPr>
          <w:rFonts w:ascii="Arial" w:cs="Arial" w:eastAsia="Arial" w:hAnsi="Arial"/>
          <w:b/>
          <w:bCs/>
          <w:color w:val="0077B6"/>
          <w:sz w:val="26"/>
          <w:szCs w:val="26"/>
        </w:rPr>
        <w:t xml:space="preserve">8.2 Email Security</w:t>
      </w:r>
    </w:p>
    <w:p>
      <w:pPr>
        <w:pStyle w:val="ListParagraph"/>
        <w:numPr>
          <w:ilvl w:val="0"/>
          <w:numId w:val="2"/>
        </w:numPr>
        <w:spacing w:after="50" w:before="50"/>
      </w:pPr>
      <w:r>
        <w:rPr>
          <w:rFonts w:ascii="Arial" w:cs="Arial" w:eastAsia="Arial" w:hAnsi="Arial"/>
          <w:color w:val="333333"/>
          <w:sz w:val="22"/>
          <w:szCs w:val="22"/>
        </w:rPr>
        <w:t xml:space="preserve">Users must exercise caution with email attachments and links, particularly from unknown or unexpected senders</w:t>
      </w:r>
    </w:p>
    <w:p>
      <w:pPr>
        <w:pStyle w:val="ListParagraph"/>
        <w:numPr>
          <w:ilvl w:val="0"/>
          <w:numId w:val="2"/>
        </w:numPr>
        <w:spacing w:after="50" w:before="50"/>
      </w:pPr>
      <w:r>
        <w:rPr>
          <w:rFonts w:ascii="Arial" w:cs="Arial" w:eastAsia="Arial" w:hAnsi="Arial"/>
          <w:color w:val="333333"/>
          <w:sz w:val="22"/>
          <w:szCs w:val="22"/>
        </w:rPr>
        <w:t xml:space="preserve">Suspicious emails must be reported to IT Operations immediately using the designated reporting mechanism (e.g., Report Phishing button)</w:t>
      </w:r>
    </w:p>
    <w:p>
      <w:pPr>
        <w:pStyle w:val="ListParagraph"/>
        <w:numPr>
          <w:ilvl w:val="0"/>
          <w:numId w:val="2"/>
        </w:numPr>
        <w:spacing w:after="50" w:before="50"/>
      </w:pPr>
      <w:r>
        <w:rPr>
          <w:rFonts w:ascii="Arial" w:cs="Arial" w:eastAsia="Arial" w:hAnsi="Arial"/>
          <w:color w:val="333333"/>
          <w:sz w:val="22"/>
          <w:szCs w:val="22"/>
        </w:rPr>
        <w:t xml:space="preserve">Users must not forward Technijian or client email to personal email accounts</w:t>
      </w:r>
    </w:p>
    <w:p>
      <w:pPr>
        <w:pStyle w:val="ListParagraph"/>
        <w:numPr>
          <w:ilvl w:val="0"/>
          <w:numId w:val="2"/>
        </w:numPr>
        <w:spacing w:after="50" w:before="50"/>
      </w:pPr>
      <w:r>
        <w:rPr>
          <w:rFonts w:ascii="Arial" w:cs="Arial" w:eastAsia="Arial" w:hAnsi="Arial"/>
          <w:color w:val="333333"/>
          <w:sz w:val="22"/>
          <w:szCs w:val="22"/>
        </w:rPr>
        <w:t xml:space="preserve">Auto-forwarding of email to external addresses is prohibited</w:t>
      </w:r>
    </w:p>
    <w:p>
      <w:pPr>
        <w:pStyle w:val="ListParagraph"/>
        <w:numPr>
          <w:ilvl w:val="0"/>
          <w:numId w:val="2"/>
        </w:numPr>
        <w:spacing w:after="50" w:before="50"/>
      </w:pPr>
      <w:r>
        <w:rPr>
          <w:rFonts w:ascii="Arial" w:cs="Arial" w:eastAsia="Arial" w:hAnsi="Arial"/>
          <w:color w:val="333333"/>
          <w:sz w:val="22"/>
          <w:szCs w:val="22"/>
        </w:rPr>
        <w:t xml:space="preserve">Encrypted email must be used when transmitting Restricted or Confidential data via email</w:t>
      </w:r>
    </w:p>
    <w:p>
      <w:pPr>
        <w:pStyle w:val="Heading2"/>
        <w:spacing w:after="200" w:before="300"/>
      </w:pPr>
      <w:r>
        <w:rPr>
          <w:rFonts w:ascii="Arial" w:cs="Arial" w:eastAsia="Arial" w:hAnsi="Arial"/>
          <w:b/>
          <w:bCs/>
          <w:color w:val="0077B6"/>
          <w:sz w:val="26"/>
          <w:szCs w:val="26"/>
        </w:rPr>
        <w:t xml:space="preserve">8.3 Business Email Compromise (BEC) Prevention</w:t>
      </w:r>
    </w:p>
    <w:p>
      <w:pPr>
        <w:pStyle w:val="ListParagraph"/>
        <w:numPr>
          <w:ilvl w:val="0"/>
          <w:numId w:val="2"/>
        </w:numPr>
        <w:spacing w:after="50" w:before="50"/>
      </w:pPr>
      <w:r>
        <w:rPr>
          <w:rFonts w:ascii="Arial" w:cs="Arial" w:eastAsia="Arial" w:hAnsi="Arial"/>
          <w:color w:val="333333"/>
          <w:sz w:val="22"/>
          <w:szCs w:val="22"/>
        </w:rPr>
        <w:t xml:space="preserve">Any request to change payment details, wire transfer instructions, or banking information received via email must be verified by phone using a previously known phone number</w:t>
      </w:r>
    </w:p>
    <w:p>
      <w:pPr>
        <w:pStyle w:val="ListParagraph"/>
        <w:numPr>
          <w:ilvl w:val="0"/>
          <w:numId w:val="2"/>
        </w:numPr>
        <w:spacing w:after="50" w:before="50"/>
      </w:pPr>
      <w:r>
        <w:rPr>
          <w:rFonts w:ascii="Arial" w:cs="Arial" w:eastAsia="Arial" w:hAnsi="Arial"/>
          <w:color w:val="333333"/>
          <w:sz w:val="22"/>
          <w:szCs w:val="22"/>
        </w:rPr>
        <w:t xml:space="preserve">Users must be alert to executive impersonation attempts and report suspicious requests immediately</w:t>
      </w:r>
    </w:p>
    <w:p>
      <w:pPr>
        <w:pStyle w:val="ListParagraph"/>
        <w:numPr>
          <w:ilvl w:val="0"/>
          <w:numId w:val="2"/>
        </w:numPr>
        <w:spacing w:after="50" w:before="50"/>
      </w:pPr>
      <w:r>
        <w:rPr>
          <w:rFonts w:ascii="Arial" w:cs="Arial" w:eastAsia="Arial" w:hAnsi="Arial"/>
          <w:color w:val="333333"/>
          <w:sz w:val="22"/>
          <w:szCs w:val="22"/>
        </w:rPr>
        <w:t xml:space="preserve">BEC awareness is included in mandatory security awareness training</w:t>
      </w:r>
    </w:p>
    <w:p>
      <w:pPr>
        <w:pStyle w:val="Heading2"/>
        <w:spacing w:after="200" w:before="300"/>
      </w:pPr>
      <w:r>
        <w:rPr>
          <w:rFonts w:ascii="Arial" w:cs="Arial" w:eastAsia="Arial" w:hAnsi="Arial"/>
          <w:b/>
          <w:bCs/>
          <w:color w:val="0077B6"/>
          <w:sz w:val="26"/>
          <w:szCs w:val="26"/>
        </w:rPr>
        <w:t xml:space="preserve">8.4 Messaging and Collaboration</w:t>
      </w:r>
    </w:p>
    <w:p>
      <w:pPr>
        <w:pStyle w:val="ListParagraph"/>
        <w:numPr>
          <w:ilvl w:val="0"/>
          <w:numId w:val="2"/>
        </w:numPr>
        <w:spacing w:after="50" w:before="50"/>
      </w:pPr>
      <w:r>
        <w:rPr>
          <w:rFonts w:ascii="Arial" w:cs="Arial" w:eastAsia="Arial" w:hAnsi="Arial"/>
          <w:color w:val="333333"/>
          <w:sz w:val="22"/>
          <w:szCs w:val="22"/>
        </w:rPr>
        <w:t xml:space="preserve">Business communications should use Technijian-approved platforms (Microsoft Teams, approved ticketing systems)</w:t>
      </w:r>
    </w:p>
    <w:p>
      <w:pPr>
        <w:pStyle w:val="ListParagraph"/>
        <w:numPr>
          <w:ilvl w:val="0"/>
          <w:numId w:val="2"/>
        </w:numPr>
        <w:spacing w:after="50" w:before="50"/>
      </w:pPr>
      <w:r>
        <w:rPr>
          <w:rFonts w:ascii="Arial" w:cs="Arial" w:eastAsia="Arial" w:hAnsi="Arial"/>
          <w:color w:val="333333"/>
          <w:sz w:val="22"/>
          <w:szCs w:val="22"/>
        </w:rPr>
        <w:t xml:space="preserve">Restricted data must not be shared via consumer messaging applications (WhatsApp, SMS, personal Slack, etc.)</w:t>
      </w:r>
    </w:p>
    <w:p>
      <w:pPr>
        <w:pStyle w:val="ListParagraph"/>
        <w:numPr>
          <w:ilvl w:val="0"/>
          <w:numId w:val="2"/>
        </w:numPr>
        <w:spacing w:after="50" w:before="50"/>
      </w:pPr>
      <w:r>
        <w:rPr>
          <w:rFonts w:ascii="Arial" w:cs="Arial" w:eastAsia="Arial" w:hAnsi="Arial"/>
          <w:color w:val="333333"/>
          <w:sz w:val="22"/>
          <w:szCs w:val="22"/>
        </w:rPr>
        <w:t xml:space="preserve">Chat messages on managed platforms are subject to the same monitoring and retention policies as email</w:t>
      </w:r>
    </w:p>
    <w:p>
      <w:pPr>
        <w:pStyle w:val="Heading1"/>
        <w:pageBreakBefore/>
      </w:pPr>
      <w:r>
        <w:rPr>
          <w:rFonts w:ascii="Arial" w:cs="Arial" w:eastAsia="Arial" w:hAnsi="Arial"/>
          <w:b/>
          <w:bCs/>
          <w:color w:val="0077B6"/>
          <w:sz w:val="32"/>
          <w:szCs w:val="32"/>
        </w:rPr>
        <w:t xml:space="preserve">9. Enforcement</w:t>
      </w:r>
    </w:p>
    <w:p>
      <w:pPr>
        <w:pStyle w:val="Heading2"/>
        <w:spacing w:after="200" w:before="300"/>
      </w:pPr>
      <w:r>
        <w:rPr>
          <w:rFonts w:ascii="Arial" w:cs="Arial" w:eastAsia="Arial" w:hAnsi="Arial"/>
          <w:b/>
          <w:bCs/>
          <w:color w:val="0077B6"/>
          <w:sz w:val="26"/>
          <w:szCs w:val="26"/>
        </w:rPr>
        <w:t xml:space="preserve">9.1 Graduated Enforcement</w:t>
      </w:r>
    </w:p>
    <w:p>
      <w:pPr>
        <w:spacing w:after="100" w:before="100"/>
      </w:pPr>
      <w:r>
        <w:rPr>
          <w:rFonts w:ascii="Arial" w:cs="Arial" w:eastAsia="Arial" w:hAnsi="Arial"/>
          <w:color w:val="333333"/>
          <w:sz w:val="22"/>
          <w:szCs w:val="22"/>
        </w:rPr>
        <w:t xml:space="preserve">Violations of this Acceptable Use Policy are subject to graduated disciplinary action. The severity of the response will be determined by the nature, impact, and intent of the violation, as well as the individual's history of compliance.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Level</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Action</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Trigger Examples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Level 1: Warning</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Documented verbal or written warning. User must acknowledge the violation and complete any required remedial training.</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First-time minor infractions such as limited personal use exceeding reasonable bounds, accidental policy deviation without data exposure.</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Level 2: Restriction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Temporary restriction of access privileges, additional monitoring, mandatory retraining. Documented in personnel file.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Repeated minor violations after warning, single moderate violation such as unauthorized software installation, failure to comply with endpoint security requirements.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Level 3: Suspension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Suspension of system access pending investigation. May include suspension of employment.</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Serious violations such as sharing credentials, circumventing security controls, unauthorized access to client data, or DLP policy violations involving Sensitive Data.</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Level 4: Termination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Termination of employment or contract. Referral to law enforcement where applicable.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Egregious violations including intentional data theft or exfiltration, malware distribution, illegal activity, repeated serious violations, or any action causing material harm to Technijian or its clients.</w:t>
            </w:r>
          </w:p>
        </w:tc>
      </w:tr>
    </w:tbl>
    <w:p>
      <w:pPr>
        <w:spacing w:after="100"/>
      </w:pPr>
    </w:p>
    <w:p>
      <w:pPr>
        <w:pStyle w:val="Heading2"/>
        <w:spacing w:after="200" w:before="300"/>
      </w:pPr>
      <w:r>
        <w:rPr>
          <w:rFonts w:ascii="Arial" w:cs="Arial" w:eastAsia="Arial" w:hAnsi="Arial"/>
          <w:b/>
          <w:bCs/>
          <w:color w:val="0077B6"/>
          <w:sz w:val="26"/>
          <w:szCs w:val="26"/>
        </w:rPr>
        <w:t xml:space="preserve">9.2 Investigation Process</w:t>
      </w:r>
    </w:p>
    <w:p>
      <w:pPr>
        <w:pStyle w:val="ListParagraph"/>
        <w:numPr>
          <w:ilvl w:val="0"/>
          <w:numId w:val="2"/>
        </w:numPr>
        <w:spacing w:after="50" w:before="50"/>
      </w:pPr>
      <w:r>
        <w:rPr>
          <w:rFonts w:ascii="Arial" w:cs="Arial" w:eastAsia="Arial" w:hAnsi="Arial"/>
          <w:color w:val="333333"/>
          <w:sz w:val="22"/>
          <w:szCs w:val="22"/>
        </w:rPr>
        <w:t xml:space="preserve">All reported or detected violations are investigated by the Security Officer</w:t>
      </w:r>
    </w:p>
    <w:p>
      <w:pPr>
        <w:pStyle w:val="ListParagraph"/>
        <w:numPr>
          <w:ilvl w:val="0"/>
          <w:numId w:val="2"/>
        </w:numPr>
        <w:spacing w:after="50" w:before="50"/>
      </w:pPr>
      <w:r>
        <w:rPr>
          <w:rFonts w:ascii="Arial" w:cs="Arial" w:eastAsia="Arial" w:hAnsi="Arial"/>
          <w:color w:val="333333"/>
          <w:sz w:val="22"/>
          <w:szCs w:val="22"/>
        </w:rPr>
        <w:t xml:space="preserve">Users are required to cooperate fully with any investigation</w:t>
      </w:r>
    </w:p>
    <w:p>
      <w:pPr>
        <w:pStyle w:val="ListParagraph"/>
        <w:numPr>
          <w:ilvl w:val="0"/>
          <w:numId w:val="2"/>
        </w:numPr>
        <w:spacing w:after="50" w:before="50"/>
      </w:pPr>
      <w:r>
        <w:rPr>
          <w:rFonts w:ascii="Arial" w:cs="Arial" w:eastAsia="Arial" w:hAnsi="Arial"/>
          <w:color w:val="333333"/>
          <w:sz w:val="22"/>
          <w:szCs w:val="22"/>
        </w:rPr>
        <w:t xml:space="preserve">Investigation findings and disciplinary actions are documented and retained in accordance with Technijian's record retention policies</w:t>
      </w:r>
    </w:p>
    <w:p>
      <w:pPr>
        <w:pStyle w:val="Heading2"/>
        <w:spacing w:after="200" w:before="300"/>
      </w:pPr>
      <w:r>
        <w:rPr>
          <w:rFonts w:ascii="Arial" w:cs="Arial" w:eastAsia="Arial" w:hAnsi="Arial"/>
          <w:b/>
          <w:bCs/>
          <w:color w:val="0077B6"/>
          <w:sz w:val="26"/>
          <w:szCs w:val="26"/>
        </w:rPr>
        <w:t xml:space="preserve">9.3 MSA Cross-Reference</w:t>
      </w:r>
    </w:p>
    <w:p>
      <w:pPr>
        <w:spacing w:after="100" w:before="100"/>
      </w:pPr>
      <w:r>
        <w:rPr>
          <w:rFonts w:ascii="Arial" w:cs="Arial" w:eastAsia="Arial" w:hAnsi="Arial"/>
          <w:color w:val="333333"/>
          <w:sz w:val="22"/>
          <w:szCs w:val="22"/>
        </w:rPr>
        <w:t xml:space="preserve">For contractors and subcontractors, violations of this policy may also constitute a breach of the Master Service Agreement (MSA), Section 3.06 (Compliance with Policies). Enforcement actions for contractors follow the contractual remedies defined in the MSA, which may include immediate termination of the engagement and indemnification for damages.</w:t>
      </w:r>
    </w:p>
    <w:p>
      <w:pPr>
        <w:pStyle w:val="Heading2"/>
        <w:spacing w:after="200" w:before="300"/>
      </w:pPr>
      <w:r>
        <w:rPr>
          <w:rFonts w:ascii="Arial" w:cs="Arial" w:eastAsia="Arial" w:hAnsi="Arial"/>
          <w:b/>
          <w:bCs/>
          <w:color w:val="0077B6"/>
          <w:sz w:val="26"/>
          <w:szCs w:val="26"/>
        </w:rPr>
        <w:t xml:space="preserve">9.4 Reporting Violations</w:t>
      </w:r>
    </w:p>
    <w:p>
      <w:pPr>
        <w:spacing w:after="100" w:before="100"/>
      </w:pPr>
      <w:r>
        <w:rPr>
          <w:rFonts w:ascii="Arial" w:cs="Arial" w:eastAsia="Arial" w:hAnsi="Arial"/>
          <w:color w:val="333333"/>
          <w:sz w:val="22"/>
          <w:szCs w:val="22"/>
        </w:rPr>
        <w:t xml:space="preserve">All users have a responsibility to report suspected policy violations. Reports can be made to:</w:t>
      </w:r>
    </w:p>
    <w:p>
      <w:pPr>
        <w:pStyle w:val="ListParagraph"/>
        <w:numPr>
          <w:ilvl w:val="0"/>
          <w:numId w:val="2"/>
        </w:numPr>
        <w:spacing w:after="50" w:before="50"/>
      </w:pPr>
      <w:r>
        <w:rPr>
          <w:rFonts w:ascii="Arial" w:cs="Arial" w:eastAsia="Arial" w:hAnsi="Arial"/>
          <w:color w:val="333333"/>
          <w:sz w:val="22"/>
          <w:szCs w:val="22"/>
        </w:rPr>
        <w:t xml:space="preserve">The Security Officer (Ravi Jain)</w:t>
      </w:r>
    </w:p>
    <w:p>
      <w:pPr>
        <w:pStyle w:val="ListParagraph"/>
        <w:numPr>
          <w:ilvl w:val="0"/>
          <w:numId w:val="2"/>
        </w:numPr>
        <w:spacing w:after="50" w:before="50"/>
      </w:pPr>
      <w:r>
        <w:rPr>
          <w:rFonts w:ascii="Arial" w:cs="Arial" w:eastAsia="Arial" w:hAnsi="Arial"/>
          <w:color w:val="333333"/>
          <w:sz w:val="22"/>
          <w:szCs w:val="22"/>
        </w:rPr>
        <w:t xml:space="preserve">The user's direct supervisor</w:t>
      </w:r>
    </w:p>
    <w:p>
      <w:pPr>
        <w:pStyle w:val="ListParagraph"/>
        <w:numPr>
          <w:ilvl w:val="0"/>
          <w:numId w:val="2"/>
        </w:numPr>
        <w:spacing w:after="50" w:before="50"/>
      </w:pPr>
      <w:r>
        <w:rPr>
          <w:rFonts w:ascii="Arial" w:cs="Arial" w:eastAsia="Arial" w:hAnsi="Arial"/>
          <w:color w:val="333333"/>
          <w:sz w:val="22"/>
          <w:szCs w:val="22"/>
        </w:rPr>
        <w:t xml:space="preserve">IT Operations</w:t>
      </w:r>
    </w:p>
    <w:p>
      <w:pPr>
        <w:spacing w:after="100" w:before="100"/>
      </w:pPr>
      <w:r>
        <w:rPr>
          <w:rFonts w:ascii="Arial" w:cs="Arial" w:eastAsia="Arial" w:hAnsi="Arial"/>
          <w:color w:val="333333"/>
          <w:sz w:val="22"/>
          <w:szCs w:val="22"/>
        </w:rPr>
        <w:t xml:space="preserve">Technijian prohibits retaliation against individuals who report policy violations in good faith.</w:t>
      </w:r>
    </w:p>
    <w:p>
      <w:pPr>
        <w:pStyle w:val="Heading1"/>
        <w:pageBreakBefore/>
      </w:pPr>
      <w:r>
        <w:rPr>
          <w:rFonts w:ascii="Arial" w:cs="Arial" w:eastAsia="Arial" w:hAnsi="Arial"/>
          <w:b/>
          <w:bCs/>
          <w:color w:val="0077B6"/>
          <w:sz w:val="32"/>
          <w:szCs w:val="32"/>
        </w:rPr>
        <w:t xml:space="preserve">10. Compliance Framework References</w:t>
      </w:r>
    </w:p>
    <w:p>
      <w:pPr>
        <w:spacing w:after="100" w:before="100"/>
      </w:pPr>
      <w:r>
        <w:rPr>
          <w:rFonts w:ascii="Arial" w:cs="Arial" w:eastAsia="Arial" w:hAnsi="Arial"/>
          <w:color w:val="333333"/>
          <w:sz w:val="22"/>
          <w:szCs w:val="22"/>
        </w:rPr>
        <w:t xml:space="preserve">This policy supports Technijian's compliance obligations across the following frameworks: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Framework</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Relevant Controls / Requirements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CSF</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PR.AC (Access Control), PR.AT (Awareness and Training), PR.DS (Data Security), PR.IP (Information Protection), DE.CM (Continuous Monitoring)</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Trust Services Criteria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CC6.1 (Logical and Physical Access Controls), CC6.2 (User Authentication), CC6.3 (Access Removal), CC6.6 (System Boundaries), CC6.7 (Data Transmission), CC6.8 (Unauthorized Software), CC7.2 (Monitoring for Anomalies)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Security Rule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164.308(a)(3) - Workforce Security, 164.308(a)(4) - Information Access Management, 164.310(b) - Workstation Use, 164.310(c) - Workstation Security, 164.312(a) - Access Control, 164.312(d) - Person or Entity Authentication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 v4.0</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Req 7 (Restrict Access), Req 8 (Identify Users and Authenticate), Req 12.3 (Acceptable Use Policies)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Art 5(1)(f) - Integrity and Confidentiality, Art 24 - Responsibility of the Controller, Art 32 - Security of Processing</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CCPA / CPRA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1798.100 - Consumer Rights, 1798.150 - Data Breach Liability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 Regulation S-P</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Rule 30 - Safeguarding Customer Information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FTC Safeguards Rule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314.4 - Information Security Program Elements</w:t>
            </w:r>
          </w:p>
        </w:tc>
      </w:tr>
    </w:tbl>
    <w:p>
      <w:pPr>
        <w:spacing w:after="100"/>
      </w:pPr>
    </w:p>
    <w:p>
      <w:pPr>
        <w:pStyle w:val="Heading1"/>
        <w:pageBreakBefore/>
      </w:pPr>
      <w:r>
        <w:rPr>
          <w:rFonts w:ascii="Arial" w:cs="Arial" w:eastAsia="Arial" w:hAnsi="Arial"/>
          <w:b/>
          <w:bCs/>
          <w:color w:val="0077B6"/>
          <w:sz w:val="32"/>
          <w:szCs w:val="32"/>
        </w:rPr>
        <w:t xml:space="preserve">11. Policy Review</w:t>
      </w:r>
    </w:p>
    <w:p>
      <w:pPr>
        <w:pStyle w:val="Heading2"/>
        <w:spacing w:after="200" w:before="300"/>
      </w:pPr>
      <w:r>
        <w:rPr>
          <w:rFonts w:ascii="Arial" w:cs="Arial" w:eastAsia="Arial" w:hAnsi="Arial"/>
          <w:b/>
          <w:bCs/>
          <w:color w:val="0077B6"/>
          <w:sz w:val="26"/>
          <w:szCs w:val="26"/>
        </w:rPr>
        <w:t xml:space="preserve">11.1 Review Frequency</w:t>
      </w:r>
    </w:p>
    <w:p>
      <w:pPr>
        <w:spacing w:after="100" w:before="100"/>
      </w:pPr>
      <w:r>
        <w:rPr>
          <w:rFonts w:ascii="Arial" w:cs="Arial" w:eastAsia="Arial" w:hAnsi="Arial"/>
          <w:color w:val="333333"/>
          <w:sz w:val="22"/>
          <w:szCs w:val="22"/>
        </w:rPr>
        <w:t xml:space="preserve">This policy is reviewed and updated on an annual basis, or more frequently when triggered by:</w:t>
      </w:r>
    </w:p>
    <w:p>
      <w:pPr>
        <w:pStyle w:val="ListParagraph"/>
        <w:numPr>
          <w:ilvl w:val="0"/>
          <w:numId w:val="2"/>
        </w:numPr>
        <w:spacing w:after="50" w:before="50"/>
      </w:pPr>
      <w:r>
        <w:rPr>
          <w:rFonts w:ascii="Arial" w:cs="Arial" w:eastAsia="Arial" w:hAnsi="Arial"/>
          <w:color w:val="333333"/>
          <w:sz w:val="22"/>
          <w:szCs w:val="22"/>
        </w:rPr>
        <w:t xml:space="preserve">Changes in applicable laws, regulations, or contractual requirements</w:t>
      </w:r>
    </w:p>
    <w:p>
      <w:pPr>
        <w:pStyle w:val="ListParagraph"/>
        <w:numPr>
          <w:ilvl w:val="0"/>
          <w:numId w:val="2"/>
        </w:numPr>
        <w:spacing w:after="50" w:before="50"/>
      </w:pPr>
      <w:r>
        <w:rPr>
          <w:rFonts w:ascii="Arial" w:cs="Arial" w:eastAsia="Arial" w:hAnsi="Arial"/>
          <w:color w:val="333333"/>
          <w:sz w:val="22"/>
          <w:szCs w:val="22"/>
        </w:rPr>
        <w:t xml:space="preserve">Significant security incidents or breaches</w:t>
      </w:r>
    </w:p>
    <w:p>
      <w:pPr>
        <w:pStyle w:val="ListParagraph"/>
        <w:numPr>
          <w:ilvl w:val="0"/>
          <w:numId w:val="2"/>
        </w:numPr>
        <w:spacing w:after="50" w:before="50"/>
      </w:pPr>
      <w:r>
        <w:rPr>
          <w:rFonts w:ascii="Arial" w:cs="Arial" w:eastAsia="Arial" w:hAnsi="Arial"/>
          <w:color w:val="333333"/>
          <w:sz w:val="22"/>
          <w:szCs w:val="22"/>
        </w:rPr>
        <w:t xml:space="preserve">Major changes to Technijian's technology stack, infrastructure, or service offerings</w:t>
      </w:r>
    </w:p>
    <w:p>
      <w:pPr>
        <w:pStyle w:val="ListParagraph"/>
        <w:numPr>
          <w:ilvl w:val="0"/>
          <w:numId w:val="2"/>
        </w:numPr>
        <w:spacing w:after="50" w:before="50"/>
      </w:pPr>
      <w:r>
        <w:rPr>
          <w:rFonts w:ascii="Arial" w:cs="Arial" w:eastAsia="Arial" w:hAnsi="Arial"/>
          <w:color w:val="333333"/>
          <w:sz w:val="22"/>
          <w:szCs w:val="22"/>
        </w:rPr>
        <w:t xml:space="preserve">Audit findings or risk assessment results identifying policy gaps</w:t>
      </w:r>
    </w:p>
    <w:p>
      <w:pPr>
        <w:pStyle w:val="ListParagraph"/>
        <w:numPr>
          <w:ilvl w:val="0"/>
          <w:numId w:val="2"/>
        </w:numPr>
        <w:spacing w:after="50" w:before="50"/>
      </w:pPr>
      <w:r>
        <w:rPr>
          <w:rFonts w:ascii="Arial" w:cs="Arial" w:eastAsia="Arial" w:hAnsi="Arial"/>
          <w:color w:val="333333"/>
          <w:sz w:val="22"/>
          <w:szCs w:val="22"/>
        </w:rPr>
        <w:t xml:space="preserve">Organizational changes affecting the scope or applicability of this policy</w:t>
      </w:r>
    </w:p>
    <w:p>
      <w:pPr>
        <w:pStyle w:val="Heading2"/>
        <w:spacing w:after="200" w:before="300"/>
      </w:pPr>
      <w:r>
        <w:rPr>
          <w:rFonts w:ascii="Arial" w:cs="Arial" w:eastAsia="Arial" w:hAnsi="Arial"/>
          <w:b/>
          <w:bCs/>
          <w:color w:val="0077B6"/>
          <w:sz w:val="26"/>
          <w:szCs w:val="26"/>
        </w:rPr>
        <w:t xml:space="preserve">11.2 Review Responsibility</w:t>
      </w:r>
    </w:p>
    <w:p>
      <w:pPr>
        <w:spacing w:after="100" w:before="100"/>
      </w:pPr>
      <w:r>
        <w:rPr>
          <w:rFonts w:ascii="Arial" w:cs="Arial" w:eastAsia="Arial" w:hAnsi="Arial"/>
          <w:color w:val="333333"/>
          <w:sz w:val="22"/>
          <w:szCs w:val="22"/>
        </w:rPr>
        <w:t xml:space="preserve">The Security Officer (Ravi Jain) is responsible for conducting the annual review. Updated policies are approved by the CEO/Owner before distribution.</w:t>
      </w:r>
    </w:p>
    <w:p>
      <w:pPr>
        <w:pStyle w:val="Heading2"/>
        <w:spacing w:after="200" w:before="300"/>
      </w:pPr>
      <w:r>
        <w:rPr>
          <w:rFonts w:ascii="Arial" w:cs="Arial" w:eastAsia="Arial" w:hAnsi="Arial"/>
          <w:b/>
          <w:bCs/>
          <w:color w:val="0077B6"/>
          <w:sz w:val="26"/>
          <w:szCs w:val="26"/>
        </w:rPr>
        <w:t xml:space="preserve">11.3 Communication</w:t>
      </w:r>
    </w:p>
    <w:p>
      <w:pPr>
        <w:spacing w:after="100" w:before="100"/>
      </w:pPr>
      <w:r>
        <w:rPr>
          <w:rFonts w:ascii="Arial" w:cs="Arial" w:eastAsia="Arial" w:hAnsi="Arial"/>
          <w:color w:val="333333"/>
          <w:sz w:val="22"/>
          <w:szCs w:val="22"/>
        </w:rPr>
        <w:t xml:space="preserve">Policy updates are communicated to all affected personnel via email and require re-acknowledgment. Updated versions are published to the controlled document repository.</w:t>
      </w:r>
    </w:p>
    <w:p>
      <w:pPr>
        <w:pStyle w:val="Heading1"/>
        <w:pageBreakBefore/>
      </w:pPr>
      <w:r>
        <w:rPr>
          <w:rFonts w:ascii="Arial" w:cs="Arial" w:eastAsia="Arial" w:hAnsi="Arial"/>
          <w:b/>
          <w:bCs/>
          <w:color w:val="0077B6"/>
          <w:sz w:val="32"/>
          <w:szCs w:val="32"/>
        </w:rPr>
        <w:t xml:space="preserve">12. Acknowledgment</w:t>
      </w:r>
    </w:p>
    <w:p>
      <w:pPr>
        <w:spacing w:after="100" w:before="100"/>
      </w:pPr>
      <w:r>
        <w:rPr>
          <w:rFonts w:ascii="Arial" w:cs="Arial" w:eastAsia="Arial" w:hAnsi="Arial"/>
          <w:color w:val="333333"/>
          <w:sz w:val="22"/>
          <w:szCs w:val="22"/>
        </w:rPr>
        <w:t xml:space="preserve">By signing below or accessing Technijian systems, I acknowledge that I have read, understand, and agree to comply with this Acceptable Use Policy. I understand that violations of this policy may result in disciplinary action up to and including termination and legal action.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Field</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Title / Role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Signature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
            </w:r>
          </w:p>
        </w:tc>
      </w:tr>
    </w:tbl>
    <w:p>
      <w:pPr>
        <w:spacing w:after="100"/>
      </w:pPr>
    </w:p>
    <w:p>
      <w:pPr>
        <w:pStyle w:val="Heading1"/>
        <w:pageBreakBefore/>
      </w:pPr>
      <w:r>
        <w:rPr>
          <w:rFonts w:ascii="Arial" w:cs="Arial" w:eastAsia="Arial" w:hAnsi="Arial"/>
          <w:b/>
          <w:bCs/>
          <w:color w:val="0077B6"/>
          <w:sz w:val="32"/>
          <w:szCs w:val="32"/>
        </w:rPr>
        <w:t xml:space="preserve">Appendix A: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April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p>
      <w:pPr>
        <w:pStyle w:val="Heading1"/>
        <w:pageBreakBefore/>
      </w:pPr>
      <w:r>
        <w:rPr>
          <w:rFonts w:ascii="Arial" w:cs="Arial" w:eastAsia="Arial" w:hAnsi="Arial"/>
          <w:b/>
          <w:bCs/>
          <w:color w:val="0077B6"/>
          <w:sz w:val="32"/>
          <w:szCs w:val="32"/>
        </w:rPr>
        <w:t xml:space="preserve">Appendix B: Related Documents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Document</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Reference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Information Security Program (WISP)</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WISP v1.0</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Response Plan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IRP</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Vendor Risk Management Policy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VRM Policy v1.0</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Master Service Agreement (MSA)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Section 3.06 - Compliance with Policies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Classification and Handling Guide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WISP Section 5.1</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Employee Handbook</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and Compliance Sections</w:t>
            </w:r>
          </w:p>
        </w:tc>
      </w:tr>
    </w:tbl>
    <w:p>
      <w:pPr>
        <w:spacing w:after="100"/>
      </w:pPr>
    </w:p>
    <w:p>
      <w:pPr>
        <w:spacing w:after="100" w:before="100"/>
      </w:pPr>
      <w:r>
        <w:rPr>
          <w:rFonts w:ascii="Arial" w:cs="Arial" w:eastAsia="Arial" w:hAnsi="Arial"/>
          <w:color w:val="333333"/>
          <w:sz w:val="22"/>
          <w:szCs w:val="22"/>
        </w:rPr>
        <w:t xml:space="preserve">*Technijian, Inc. | 18 Technology Drive, Suite 141, Irvine, CA 92618*</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Acceptable Use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1644858f9743ef996d96751599058280f6c1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2026-04-06T17:55:46.321Z</dcterms:created>
  <dcterms:modified xsi:type="dcterms:W3CDTF">2026-04-06T17:55:46.323Z</dcterms:modified>
</cp:coreProperties>
</file>

<file path=docProps/custom.xml><?xml version="1.0" encoding="utf-8"?>
<Properties xmlns="http://schemas.openxmlformats.org/officeDocument/2006/custom-properties" xmlns:vt="http://schemas.openxmlformats.org/officeDocument/2006/docPropsVTypes"/>
</file>