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Data Processing Addendum</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April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DEFINITIONS</w:t>
      </w:r>
    </w:p>
    <w:p>
      <w:pPr>
        <w:spacing w:after="100" w:before="100"/>
      </w:pPr>
      <w:r>
        <w:rPr>
          <w:rFonts w:ascii="Arial" w:cs="Arial" w:eastAsia="Arial" w:hAnsi="Arial"/>
          <w:b/>
          <w:bCs/>
          <w:color w:val="333333"/>
          <w:sz w:val="22"/>
          <w:szCs w:val="22"/>
        </w:rPr>
        <w:t xml:space="preserve">1.01.</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Personal Information</w:t>
      </w:r>
      <w:r>
        <w:rPr>
          <w:rFonts w:ascii="Arial" w:cs="Arial" w:eastAsia="Arial" w:hAnsi="Arial"/>
          <w:color w:val="333333"/>
          <w:sz w:val="22"/>
          <w:szCs w:val="22"/>
        </w:rPr>
        <w:t xml:space="preserve">" means any information that identifies, relates to, describes, is reasonably capable of being associated with, or could reasonably be linked, directly or indirectly, with a particular consumer or household, as defined under the CCPA (Cal. Civ. Code § 1798.140(v)), and includes "personal data" as defined under the GDPR (Art. 4(1)).</w:t>
      </w:r>
    </w:p>
    <w:p>
      <w:pPr>
        <w:spacing w:after="100" w:before="100"/>
      </w:pPr>
      <w:r>
        <w:rPr>
          <w:rFonts w:ascii="Arial" w:cs="Arial" w:eastAsia="Arial" w:hAnsi="Arial"/>
          <w:b/>
          <w:bCs/>
          <w:color w:val="333333"/>
          <w:sz w:val="22"/>
          <w:szCs w:val="22"/>
        </w:rPr>
        <w:t xml:space="preserve">1.02.</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Processing</w:t>
      </w:r>
      <w:r>
        <w:rPr>
          <w:rFonts w:ascii="Arial" w:cs="Arial" w:eastAsia="Arial" w:hAnsi="Arial"/>
          <w:color w:val="333333"/>
          <w:sz w:val="22"/>
          <w:szCs w:val="22"/>
        </w:rPr>
        <w:t xml:space="preserve">" means any operation or set of operations performed on Personal Information, whether by automated means or otherwise, including collection, recording, organization, structuring, storage, adaptation, alteration, retrieval, consultation, use, disclosure, dissemination, alignment, combination, restriction, erasure, or destruction.</w:t>
      </w:r>
    </w:p>
    <w:p>
      <w:pPr>
        <w:spacing w:after="100" w:before="100"/>
      </w:pPr>
      <w:r>
        <w:rPr>
          <w:rFonts w:ascii="Arial" w:cs="Arial" w:eastAsia="Arial" w:hAnsi="Arial"/>
          <w:b/>
          <w:bCs/>
          <w:color w:val="333333"/>
          <w:sz w:val="22"/>
          <w:szCs w:val="22"/>
        </w:rPr>
        <w:t xml:space="preserve">1.03.</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Controller</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Business</w:t>
      </w:r>
      <w:r>
        <w:rPr>
          <w:rFonts w:ascii="Arial" w:cs="Arial" w:eastAsia="Arial" w:hAnsi="Arial"/>
          <w:color w:val="333333"/>
          <w:sz w:val="22"/>
          <w:szCs w:val="22"/>
        </w:rPr>
        <w:t xml:space="preserve">" means the entity that determines the purposes and means of processing Personal Information. For purposes of this DPA, Client is the Controller/Business.</w:t>
      </w:r>
    </w:p>
    <w:p>
      <w:pPr>
        <w:spacing w:after="100" w:before="100"/>
      </w:pPr>
      <w:r>
        <w:rPr>
          <w:rFonts w:ascii="Arial" w:cs="Arial" w:eastAsia="Arial" w:hAnsi="Arial"/>
          <w:b/>
          <w:bCs/>
          <w:color w:val="333333"/>
          <w:sz w:val="22"/>
          <w:szCs w:val="22"/>
        </w:rPr>
        <w:t xml:space="preserve">1.04.</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Processor</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Service Provider</w:t>
      </w:r>
      <w:r>
        <w:rPr>
          <w:rFonts w:ascii="Arial" w:cs="Arial" w:eastAsia="Arial" w:hAnsi="Arial"/>
          <w:color w:val="333333"/>
          <w:sz w:val="22"/>
          <w:szCs w:val="22"/>
        </w:rPr>
        <w:t xml:space="preserve">" means the entity that processes Personal Information on behalf of the Controller. For purposes of this DPA, Technijian is the Processor/Service Provider as defined under Cal. Civ. Code § 1798.140(ag) and GDPR Art. 4(8).</w:t>
      </w:r>
    </w:p>
    <w:p>
      <w:pPr>
        <w:spacing w:after="100" w:before="100"/>
      </w:pPr>
      <w:r>
        <w:rPr>
          <w:rFonts w:ascii="Arial" w:cs="Arial" w:eastAsia="Arial" w:hAnsi="Arial"/>
          <w:b/>
          <w:bCs/>
          <w:color w:val="333333"/>
          <w:sz w:val="22"/>
          <w:szCs w:val="22"/>
        </w:rPr>
        <w:t xml:space="preserve">1.05.</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Data Subject</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Consumer</w:t>
      </w:r>
      <w:r>
        <w:rPr>
          <w:rFonts w:ascii="Arial" w:cs="Arial" w:eastAsia="Arial" w:hAnsi="Arial"/>
          <w:color w:val="333333"/>
          <w:sz w:val="22"/>
          <w:szCs w:val="22"/>
        </w:rPr>
        <w:t xml:space="preserve">" means the identified or identifiable natural person to whom the Personal Information relates.</w:t>
      </w:r>
    </w:p>
    <w:p>
      <w:pPr>
        <w:spacing w:after="100" w:before="100"/>
      </w:pPr>
      <w:r>
        <w:rPr>
          <w:rFonts w:ascii="Arial" w:cs="Arial" w:eastAsia="Arial" w:hAnsi="Arial"/>
          <w:b/>
          <w:bCs/>
          <w:color w:val="333333"/>
          <w:sz w:val="22"/>
          <w:szCs w:val="22"/>
        </w:rPr>
        <w:t xml:space="preserve">1.06.</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Sub-processor</w:t>
      </w:r>
      <w:r>
        <w:rPr>
          <w:rFonts w:ascii="Arial" w:cs="Arial" w:eastAsia="Arial" w:hAnsi="Arial"/>
          <w:color w:val="333333"/>
          <w:sz w:val="22"/>
          <w:szCs w:val="22"/>
        </w:rPr>
        <w:t xml:space="preserve">" means any third party engaged by Technijian to process Personal Information on behalf of Client, including offshore personnel engaged under MSA Section 1.10.</w:t>
      </w:r>
    </w:p>
    <w:p>
      <w:pPr>
        <w:spacing w:after="100" w:before="100"/>
      </w:pPr>
      <w:r>
        <w:rPr>
          <w:rFonts w:ascii="Arial" w:cs="Arial" w:eastAsia="Arial" w:hAnsi="Arial"/>
          <w:b/>
          <w:bCs/>
          <w:color w:val="333333"/>
          <w:sz w:val="22"/>
          <w:szCs w:val="22"/>
        </w:rPr>
        <w:t xml:space="preserve">1.07.</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Security Incident</w:t>
      </w:r>
      <w:r>
        <w:rPr>
          <w:rFonts w:ascii="Arial" w:cs="Arial" w:eastAsia="Arial" w:hAnsi="Arial"/>
          <w:color w:val="333333"/>
          <w:sz w:val="22"/>
          <w:szCs w:val="22"/>
        </w:rPr>
        <w:t xml:space="preserve">" has the meaning set forth in MSA Section 10.02.</w:t>
      </w:r>
    </w:p>
    <w:p>
      <w:pPr>
        <w:spacing w:after="100" w:before="100"/>
      </w:pPr>
      <w:r>
        <w:rPr>
          <w:rFonts w:ascii="Arial" w:cs="Arial" w:eastAsia="Arial" w:hAnsi="Arial"/>
          <w:b/>
          <w:bCs/>
          <w:color w:val="333333"/>
          <w:sz w:val="22"/>
          <w:szCs w:val="22"/>
        </w:rPr>
        <w:t xml:space="preserve">1.08.</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CCPA</w:t>
      </w:r>
      <w:r>
        <w:rPr>
          <w:rFonts w:ascii="Arial" w:cs="Arial" w:eastAsia="Arial" w:hAnsi="Arial"/>
          <w:color w:val="333333"/>
          <w:sz w:val="22"/>
          <w:szCs w:val="22"/>
        </w:rPr>
        <w:t xml:space="preserve">" means the California Consumer Privacy Act, as amended by the California Privacy Rights Act, Cal. Civ. Code § 1798.100 et seq.</w:t>
      </w:r>
    </w:p>
    <w:p>
      <w:pPr>
        <w:spacing w:after="100" w:before="100"/>
      </w:pPr>
      <w:r>
        <w:rPr>
          <w:rFonts w:ascii="Arial" w:cs="Arial" w:eastAsia="Arial" w:hAnsi="Arial"/>
          <w:b/>
          <w:bCs/>
          <w:color w:val="333333"/>
          <w:sz w:val="22"/>
          <w:szCs w:val="22"/>
        </w:rPr>
        <w:t xml:space="preserve">1.09.</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GDPR</w:t>
      </w:r>
      <w:r>
        <w:rPr>
          <w:rFonts w:ascii="Arial" w:cs="Arial" w:eastAsia="Arial" w:hAnsi="Arial"/>
          <w:color w:val="333333"/>
          <w:sz w:val="22"/>
          <w:szCs w:val="22"/>
        </w:rPr>
        <w:t xml:space="preserve">" means the General Data Protection Regulation (EU) 2016/679.</w:t>
      </w:r>
    </w:p>
    <w:p>
      <w:pPr>
        <w:spacing w:after="100" w:before="100"/>
      </w:pPr>
      <w:r>
        <w:rPr>
          <w:rFonts w:ascii="Arial" w:cs="Arial" w:eastAsia="Arial" w:hAnsi="Arial"/>
          <w:b/>
          <w:bCs/>
          <w:color w:val="333333"/>
          <w:sz w:val="22"/>
          <w:szCs w:val="22"/>
        </w:rPr>
        <w:t xml:space="preserve">1.10.</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Applicable Data Protection Law</w:t>
      </w:r>
      <w:r>
        <w:rPr>
          <w:rFonts w:ascii="Arial" w:cs="Arial" w:eastAsia="Arial" w:hAnsi="Arial"/>
          <w:color w:val="333333"/>
          <w:sz w:val="22"/>
          <w:szCs w:val="22"/>
        </w:rPr>
        <w:t xml:space="preserve">" means all laws and regulations applicable to the processing of Personal Information under this DPA, including the CCPA, GDPR, HIPAA (where a BAA is in effect), and any other federal, state, or international data protection law applicable to the services.</w:t>
      </w:r>
    </w:p>
    <w:p>
      <w:pPr>
        <w:pStyle w:val="Heading1"/>
        <w:pageBreakBefore/>
      </w:pPr>
      <w:r>
        <w:rPr>
          <w:rFonts w:ascii="Arial" w:cs="Arial" w:eastAsia="Arial" w:hAnsi="Arial"/>
          <w:b/>
          <w:bCs/>
          <w:color w:val="0077B6"/>
          <w:sz w:val="32"/>
          <w:szCs w:val="32"/>
        </w:rPr>
        <w:t xml:space="preserve">2. SCOPE AND ROLES</w:t>
      </w:r>
    </w:p>
    <w:p>
      <w:pPr>
        <w:spacing w:after="100" w:before="100"/>
      </w:pPr>
      <w:r>
        <w:rPr>
          <w:rFonts w:ascii="Arial" w:cs="Arial" w:eastAsia="Arial" w:hAnsi="Arial"/>
          <w:b/>
          <w:bCs/>
          <w:color w:val="333333"/>
          <w:sz w:val="22"/>
          <w:szCs w:val="22"/>
        </w:rPr>
        <w:t xml:space="preserve">2.01.</w:t>
      </w:r>
      <w:r>
        <w:rPr>
          <w:rFonts w:ascii="Arial" w:cs="Arial" w:eastAsia="Arial" w:hAnsi="Arial"/>
          <w:color w:val="333333"/>
          <w:sz w:val="22"/>
          <w:szCs w:val="22"/>
        </w:rPr>
        <w:t xml:space="preserve"> Client is the Controller/Business with respect to the Personal Information processed in connection with the services. Technijian is the Processor/Service Provider.</w:t>
      </w:r>
    </w:p>
    <w:p>
      <w:pPr>
        <w:spacing w:after="100" w:before="100"/>
      </w:pPr>
      <w:r>
        <w:rPr>
          <w:rFonts w:ascii="Arial" w:cs="Arial" w:eastAsia="Arial" w:hAnsi="Arial"/>
          <w:b/>
          <w:bCs/>
          <w:color w:val="333333"/>
          <w:sz w:val="22"/>
          <w:szCs w:val="22"/>
        </w:rPr>
        <w:t xml:space="preserve">2.02.</w:t>
      </w:r>
      <w:r>
        <w:rPr>
          <w:rFonts w:ascii="Arial" w:cs="Arial" w:eastAsia="Arial" w:hAnsi="Arial"/>
          <w:color w:val="333333"/>
          <w:sz w:val="22"/>
          <w:szCs w:val="22"/>
        </w:rPr>
        <w:t xml:space="preserve"> Technijian shall process Personal Information only as described in Annex I (Processing Details) and only for the purpose of performing the services under the MSA, unless otherwise instructed in writing by Client or required by applicable law.</w:t>
      </w:r>
    </w:p>
    <w:p>
      <w:pPr>
        <w:spacing w:after="100" w:before="100"/>
      </w:pPr>
      <w:r>
        <w:rPr>
          <w:rFonts w:ascii="Arial" w:cs="Arial" w:eastAsia="Arial" w:hAnsi="Arial"/>
          <w:b/>
          <w:bCs/>
          <w:color w:val="333333"/>
          <w:sz w:val="22"/>
          <w:szCs w:val="22"/>
        </w:rPr>
        <w:t xml:space="preserve">2.03.</w:t>
      </w:r>
      <w:r>
        <w:rPr>
          <w:rFonts w:ascii="Arial" w:cs="Arial" w:eastAsia="Arial" w:hAnsi="Arial"/>
          <w:color w:val="333333"/>
          <w:sz w:val="22"/>
          <w:szCs w:val="22"/>
        </w:rPr>
        <w:t xml:space="preserve"> To the extent Technijian is classified as a "contractor" under Cal. Civ. Code § 1798.140(j) rather than a "service provider," the obligations in this DPA shall apply with equal force, and Technijian shall comply with the additional requirements applicable to contractors under the CCPA/CPRA.</w:t>
      </w:r>
    </w:p>
    <w:p>
      <w:pPr>
        <w:pStyle w:val="Heading1"/>
        <w:pageBreakBefore/>
      </w:pPr>
      <w:r>
        <w:rPr>
          <w:rFonts w:ascii="Arial" w:cs="Arial" w:eastAsia="Arial" w:hAnsi="Arial"/>
          <w:b/>
          <w:bCs/>
          <w:color w:val="0077B6"/>
          <w:sz w:val="32"/>
          <w:szCs w:val="32"/>
        </w:rPr>
        <w:t xml:space="preserve">3. PROCESSING INSTRUCTIONS AND LIMITATIONS</w:t>
      </w:r>
    </w:p>
    <w:p>
      <w:pPr>
        <w:spacing w:after="100" w:before="100"/>
      </w:pPr>
      <w:r>
        <w:rPr>
          <w:rFonts w:ascii="Arial" w:cs="Arial" w:eastAsia="Arial" w:hAnsi="Arial"/>
          <w:b/>
          <w:bCs/>
          <w:color w:val="333333"/>
          <w:sz w:val="22"/>
          <w:szCs w:val="22"/>
        </w:rPr>
        <w:t xml:space="preserve">3.01.</w:t>
      </w:r>
      <w:r>
        <w:rPr>
          <w:rFonts w:ascii="Arial" w:cs="Arial" w:eastAsia="Arial" w:hAnsi="Arial"/>
          <w:color w:val="333333"/>
          <w:sz w:val="22"/>
          <w:szCs w:val="22"/>
        </w:rPr>
        <w:t xml:space="preserve"> Technijian shall process Personal Information only in accordance with Client's documented instructions, which are deemed to include the MSA, this DPA, and any written instructions provided by Client from time to time. If Technijian believes an instruction violates Applicable Data Protection Law, Technijian shall promptly notify Client.</w:t>
      </w:r>
    </w:p>
    <w:p>
      <w:pPr>
        <w:spacing w:after="100" w:before="100"/>
      </w:pPr>
      <w:r>
        <w:rPr>
          <w:rFonts w:ascii="Arial" w:cs="Arial" w:eastAsia="Arial" w:hAnsi="Arial"/>
          <w:b/>
          <w:bCs/>
          <w:color w:val="333333"/>
          <w:sz w:val="22"/>
          <w:szCs w:val="22"/>
        </w:rPr>
        <w:t xml:space="preserve">3.02.</w:t>
      </w:r>
      <w:r>
        <w:rPr>
          <w:rFonts w:ascii="Arial" w:cs="Arial" w:eastAsia="Arial" w:hAnsi="Arial"/>
          <w:color w:val="333333"/>
          <w:sz w:val="22"/>
          <w:szCs w:val="22"/>
        </w:rPr>
        <w:t xml:space="preserve"> Technijian shall not:</w:t>
      </w:r>
    </w:p>
    <w:p>
      <w:pPr>
        <w:spacing w:after="100" w:before="100"/>
      </w:pPr>
      <w:r>
        <w:rPr>
          <w:rFonts w:ascii="Arial" w:cs="Arial" w:eastAsia="Arial" w:hAnsi="Arial"/>
          <w:color w:val="333333"/>
          <w:sz w:val="22"/>
          <w:szCs w:val="22"/>
        </w:rPr>
        <w:t xml:space="preserve">(a) Sell or share Personal Information as those terms are defined under the CCPA;</w:t>
      </w:r>
    </w:p>
    <w:p>
      <w:pPr>
        <w:spacing w:after="100" w:before="100"/>
      </w:pPr>
      <w:r>
        <w:rPr>
          <w:rFonts w:ascii="Arial" w:cs="Arial" w:eastAsia="Arial" w:hAnsi="Arial"/>
          <w:color w:val="333333"/>
          <w:sz w:val="22"/>
          <w:szCs w:val="22"/>
        </w:rPr>
        <w:t xml:space="preserve">(b) Retain, use, or disclose Personal Information for any purpose other than performing the services under the MSA, including not using Personal Information for targeted advertising or cross-context behavioral advertising;</w:t>
      </w:r>
    </w:p>
    <w:p>
      <w:pPr>
        <w:spacing w:after="100" w:before="100"/>
      </w:pPr>
      <w:r>
        <w:rPr>
          <w:rFonts w:ascii="Arial" w:cs="Arial" w:eastAsia="Arial" w:hAnsi="Arial"/>
          <w:color w:val="333333"/>
          <w:sz w:val="22"/>
          <w:szCs w:val="22"/>
        </w:rPr>
        <w:t xml:space="preserve">(c) Combine Personal Information received from Client with Personal Information received from other sources or collected from Technijian's own interactions with individuals, except as expressly permitted by the CCPA to perform the services;</w:t>
      </w:r>
    </w:p>
    <w:p>
      <w:pPr>
        <w:spacing w:after="100" w:before="100"/>
      </w:pPr>
      <w:r>
        <w:rPr>
          <w:rFonts w:ascii="Arial" w:cs="Arial" w:eastAsia="Arial" w:hAnsi="Arial"/>
          <w:color w:val="333333"/>
          <w:sz w:val="22"/>
          <w:szCs w:val="22"/>
        </w:rPr>
        <w:t xml:space="preserve">(d) Disclose Personal Information to any third party except as authorized by this DPA, the MSA, or Client's written instructions; or</w:t>
      </w:r>
    </w:p>
    <w:p>
      <w:pPr>
        <w:spacing w:after="100" w:before="100"/>
      </w:pPr>
      <w:r>
        <w:rPr>
          <w:rFonts w:ascii="Arial" w:cs="Arial" w:eastAsia="Arial" w:hAnsi="Arial"/>
          <w:color w:val="333333"/>
          <w:sz w:val="22"/>
          <w:szCs w:val="22"/>
        </w:rPr>
        <w:t xml:space="preserve">(e) Process Personal Information outside the United States without Client's prior written consent, except as set forth in Section 8 (International Transfers).</w:t>
      </w:r>
    </w:p>
    <w:p>
      <w:pPr>
        <w:pStyle w:val="Heading1"/>
        <w:pageBreakBefore/>
      </w:pPr>
      <w:r>
        <w:rPr>
          <w:rFonts w:ascii="Arial" w:cs="Arial" w:eastAsia="Arial" w:hAnsi="Arial"/>
          <w:b/>
          <w:bCs/>
          <w:color w:val="0077B6"/>
          <w:sz w:val="32"/>
          <w:szCs w:val="32"/>
        </w:rPr>
        <w:t xml:space="preserve">4. CCPA/CPRA SERVICE PROVIDER OBLIGATIONS</w:t>
      </w:r>
    </w:p>
    <w:p>
      <w:pPr>
        <w:spacing w:after="100" w:before="100"/>
      </w:pPr>
      <w:r>
        <w:rPr>
          <w:rFonts w:ascii="Arial" w:cs="Arial" w:eastAsia="Arial" w:hAnsi="Arial"/>
          <w:b/>
          <w:bCs/>
          <w:color w:val="333333"/>
          <w:sz w:val="22"/>
          <w:szCs w:val="22"/>
        </w:rPr>
        <w:t xml:space="preserve">4.01.</w:t>
      </w:r>
      <w:r>
        <w:rPr>
          <w:rFonts w:ascii="Arial" w:cs="Arial" w:eastAsia="Arial" w:hAnsi="Arial"/>
          <w:color w:val="333333"/>
          <w:sz w:val="22"/>
          <w:szCs w:val="22"/>
        </w:rPr>
        <w:t xml:space="preserve"> In addition to the obligations in Section 3, Technijian shall:</w:t>
      </w:r>
    </w:p>
    <w:p>
      <w:pPr>
        <w:spacing w:after="100" w:before="100"/>
      </w:pPr>
      <w:r>
        <w:rPr>
          <w:rFonts w:ascii="Arial" w:cs="Arial" w:eastAsia="Arial" w:hAnsi="Arial"/>
          <w:color w:val="333333"/>
          <w:sz w:val="22"/>
          <w:szCs w:val="22"/>
        </w:rPr>
        <w:t xml:space="preserve">(a) Certify that Technijian understands the restrictions in this DPA and the CCPA and will comply with them, including that Technijian shall not sell or share Personal Information;</w:t>
      </w:r>
    </w:p>
    <w:p>
      <w:pPr>
        <w:spacing w:after="100" w:before="100"/>
      </w:pPr>
      <w:r>
        <w:rPr>
          <w:rFonts w:ascii="Arial" w:cs="Arial" w:eastAsia="Arial" w:hAnsi="Arial"/>
          <w:color w:val="333333"/>
          <w:sz w:val="22"/>
          <w:szCs w:val="22"/>
        </w:rPr>
        <w:t xml:space="preserve">(b) Notify Client within </w:t>
      </w:r>
      <w:r>
        <w:rPr>
          <w:rFonts w:ascii="Arial" w:cs="Arial" w:eastAsia="Arial" w:hAnsi="Arial"/>
          <w:b/>
          <w:bCs/>
          <w:color w:val="333333"/>
          <w:sz w:val="22"/>
          <w:szCs w:val="22"/>
        </w:rPr>
        <w:t xml:space="preserve">five (5) business days</w:t>
      </w:r>
      <w:r>
        <w:rPr>
          <w:rFonts w:ascii="Arial" w:cs="Arial" w:eastAsia="Arial" w:hAnsi="Arial"/>
          <w:color w:val="333333"/>
          <w:sz w:val="22"/>
          <w:szCs w:val="22"/>
        </w:rPr>
        <w:t xml:space="preserve"> if Technijian determines that it can no longer meet its obligations as a service provider under the CCPA;</w:t>
      </w:r>
    </w:p>
    <w:p>
      <w:pPr>
        <w:spacing w:after="100" w:before="100"/>
      </w:pPr>
      <w:r>
        <w:rPr>
          <w:rFonts w:ascii="Arial" w:cs="Arial" w:eastAsia="Arial" w:hAnsi="Arial"/>
          <w:color w:val="333333"/>
          <w:sz w:val="22"/>
          <w:szCs w:val="22"/>
        </w:rPr>
        <w:t xml:space="preserve">(c) Cooperate with Client in responding to verifiable consumer rights requests under the CCPA (including access, deletion, correction, and opt-out requests) within </w:t>
      </w:r>
      <w:r>
        <w:rPr>
          <w:rFonts w:ascii="Arial" w:cs="Arial" w:eastAsia="Arial" w:hAnsi="Arial"/>
          <w:b/>
          <w:bCs/>
          <w:color w:val="333333"/>
          <w:sz w:val="22"/>
          <w:szCs w:val="22"/>
        </w:rPr>
        <w:t xml:space="preserve">ten (10) business days</w:t>
      </w:r>
      <w:r>
        <w:rPr>
          <w:rFonts w:ascii="Arial" w:cs="Arial" w:eastAsia="Arial" w:hAnsi="Arial"/>
          <w:color w:val="333333"/>
          <w:sz w:val="22"/>
          <w:szCs w:val="22"/>
        </w:rPr>
        <w:t xml:space="preserve"> of Client's request;</w:t>
      </w:r>
    </w:p>
    <w:p>
      <w:pPr>
        <w:spacing w:after="100" w:before="100"/>
      </w:pPr>
      <w:r>
        <w:rPr>
          <w:rFonts w:ascii="Arial" w:cs="Arial" w:eastAsia="Arial" w:hAnsi="Arial"/>
          <w:color w:val="333333"/>
          <w:sz w:val="22"/>
          <w:szCs w:val="22"/>
        </w:rPr>
        <w:t xml:space="preserve">(d) Implement and maintain reasonable security measures appropriate to the nature of the Personal Information, consistent with MSA Section 10.03 and the Technijian WISP;</w:t>
      </w:r>
    </w:p>
    <w:p>
      <w:pPr>
        <w:spacing w:after="100" w:before="100"/>
      </w:pPr>
      <w:r>
        <w:rPr>
          <w:rFonts w:ascii="Arial" w:cs="Arial" w:eastAsia="Arial" w:hAnsi="Arial"/>
          <w:color w:val="333333"/>
          <w:sz w:val="22"/>
          <w:szCs w:val="22"/>
        </w:rPr>
        <w:t xml:space="preserve">(e) Grant Client the right to take reasonable and appropriate steps to ensure that Technijian uses Personal Information in a manner consistent with Client's obligations under the CCPA; and</w:t>
      </w:r>
    </w:p>
    <w:p>
      <w:pPr>
        <w:spacing w:after="100" w:before="100"/>
      </w:pPr>
      <w:r>
        <w:rPr>
          <w:rFonts w:ascii="Arial" w:cs="Arial" w:eastAsia="Arial" w:hAnsi="Arial"/>
          <w:color w:val="333333"/>
          <w:sz w:val="22"/>
          <w:szCs w:val="22"/>
        </w:rPr>
        <w:t xml:space="preserve">(f) Provide Client with the information necessary to demonstrate compliance with the CCPA upon reasonable request.</w:t>
      </w:r>
    </w:p>
    <w:p>
      <w:pPr>
        <w:pStyle w:val="Heading1"/>
        <w:pageBreakBefore/>
      </w:pPr>
      <w:r>
        <w:rPr>
          <w:rFonts w:ascii="Arial" w:cs="Arial" w:eastAsia="Arial" w:hAnsi="Arial"/>
          <w:b/>
          <w:bCs/>
          <w:color w:val="0077B6"/>
          <w:sz w:val="32"/>
          <w:szCs w:val="32"/>
        </w:rPr>
        <w:t xml:space="preserve">5. GDPR PROCESSOR OBLIGATIONS</w:t>
      </w:r>
    </w:p>
    <w:p>
      <w:pPr>
        <w:spacing w:after="100" w:before="100"/>
      </w:pPr>
      <w:r>
        <w:rPr>
          <w:rFonts w:ascii="Arial" w:cs="Arial" w:eastAsia="Arial" w:hAnsi="Arial"/>
          <w:b/>
          <w:bCs/>
          <w:color w:val="333333"/>
          <w:sz w:val="22"/>
          <w:szCs w:val="22"/>
        </w:rPr>
        <w:t xml:space="preserve">5.01.</w:t>
      </w:r>
      <w:r>
        <w:rPr>
          <w:rFonts w:ascii="Arial" w:cs="Arial" w:eastAsia="Arial" w:hAnsi="Arial"/>
          <w:color w:val="333333"/>
          <w:sz w:val="22"/>
          <w:szCs w:val="22"/>
        </w:rPr>
        <w:t xml:space="preserve"> To the extent GDPR applies to the processing of Personal Information under this DPA, Technijian shall, in addition to the obligations above:</w:t>
      </w:r>
    </w:p>
    <w:p>
      <w:pPr>
        <w:spacing w:after="100" w:before="100"/>
      </w:pPr>
      <w:r>
        <w:rPr>
          <w:rFonts w:ascii="Arial" w:cs="Arial" w:eastAsia="Arial" w:hAnsi="Arial"/>
          <w:color w:val="333333"/>
          <w:sz w:val="22"/>
          <w:szCs w:val="22"/>
        </w:rPr>
        <w:t xml:space="preserve">(a) Process Personal Information only on documented instructions from Client, including with regard to transfers outside the EEA, unless required by EU or Member State law;</w:t>
      </w:r>
    </w:p>
    <w:p>
      <w:pPr>
        <w:spacing w:after="100" w:before="100"/>
      </w:pPr>
      <w:r>
        <w:rPr>
          <w:rFonts w:ascii="Arial" w:cs="Arial" w:eastAsia="Arial" w:hAnsi="Arial"/>
          <w:color w:val="333333"/>
          <w:sz w:val="22"/>
          <w:szCs w:val="22"/>
        </w:rPr>
        <w:t xml:space="preserve">(b) Ensure that persons authorized to process Personal Information have committed themselves to confidentiality or are under an appropriate statutory obligation of confidentiality;</w:t>
      </w:r>
    </w:p>
    <w:p>
      <w:pPr>
        <w:spacing w:after="100" w:before="100"/>
      </w:pPr>
      <w:r>
        <w:rPr>
          <w:rFonts w:ascii="Arial" w:cs="Arial" w:eastAsia="Arial" w:hAnsi="Arial"/>
          <w:color w:val="333333"/>
          <w:sz w:val="22"/>
          <w:szCs w:val="22"/>
        </w:rPr>
        <w:t xml:space="preserve">(c) Implement the technical and organizational measures described in Annex II;</w:t>
      </w:r>
    </w:p>
    <w:p>
      <w:pPr>
        <w:spacing w:after="100" w:before="100"/>
      </w:pPr>
      <w:r>
        <w:rPr>
          <w:rFonts w:ascii="Arial" w:cs="Arial" w:eastAsia="Arial" w:hAnsi="Arial"/>
          <w:color w:val="333333"/>
          <w:sz w:val="22"/>
          <w:szCs w:val="22"/>
        </w:rPr>
        <w:t xml:space="preserve">(d) Assist Client by appropriate technical and organizational measures, insofar as possible, for the fulfillment of Client's obligation to respond to Data Subject requests under GDPR Chapter III;</w:t>
      </w:r>
    </w:p>
    <w:p>
      <w:pPr>
        <w:spacing w:after="100" w:before="100"/>
      </w:pPr>
      <w:r>
        <w:rPr>
          <w:rFonts w:ascii="Arial" w:cs="Arial" w:eastAsia="Arial" w:hAnsi="Arial"/>
          <w:color w:val="333333"/>
          <w:sz w:val="22"/>
          <w:szCs w:val="22"/>
        </w:rPr>
        <w:t xml:space="preserve">(e) Assist Client in ensuring compliance with the obligations pursuant to GDPR Articles 32 through 36, taking into account the nature of processing and the information available to Technijian;</w:t>
      </w:r>
    </w:p>
    <w:p>
      <w:pPr>
        <w:spacing w:after="100" w:before="100"/>
      </w:pPr>
      <w:r>
        <w:rPr>
          <w:rFonts w:ascii="Arial" w:cs="Arial" w:eastAsia="Arial" w:hAnsi="Arial"/>
          <w:color w:val="333333"/>
          <w:sz w:val="22"/>
          <w:szCs w:val="22"/>
        </w:rPr>
        <w:t xml:space="preserve">(f) At the choice of Client, delete or return all Personal Information to Client after the end of the provision of services, and delete existing copies unless EU or Member State law requires storage;</w:t>
      </w:r>
    </w:p>
    <w:p>
      <w:pPr>
        <w:spacing w:after="100" w:before="100"/>
      </w:pPr>
      <w:r>
        <w:rPr>
          <w:rFonts w:ascii="Arial" w:cs="Arial" w:eastAsia="Arial" w:hAnsi="Arial"/>
          <w:color w:val="333333"/>
          <w:sz w:val="22"/>
          <w:szCs w:val="22"/>
        </w:rPr>
        <w:t xml:space="preserve">(g) Make available to Client all information necessary to demonstrate compliance with the obligations laid down in GDPR Article 28, and allow for and contribute to audits conducted by Client or an auditor mandated by Client; and</w:t>
      </w:r>
    </w:p>
    <w:p>
      <w:pPr>
        <w:spacing w:after="100" w:before="100"/>
      </w:pPr>
      <w:r>
        <w:rPr>
          <w:rFonts w:ascii="Arial" w:cs="Arial" w:eastAsia="Arial" w:hAnsi="Arial"/>
          <w:color w:val="333333"/>
          <w:sz w:val="22"/>
          <w:szCs w:val="22"/>
        </w:rPr>
        <w:t xml:space="preserve">(h) Immediately inform Client if, in Technijian's opinion, an instruction from Client infringes the GDPR or other EU or Member State data protection provisions.</w:t>
      </w:r>
    </w:p>
    <w:p>
      <w:pPr>
        <w:pStyle w:val="Heading1"/>
        <w:pageBreakBefore/>
      </w:pPr>
      <w:r>
        <w:rPr>
          <w:rFonts w:ascii="Arial" w:cs="Arial" w:eastAsia="Arial" w:hAnsi="Arial"/>
          <w:b/>
          <w:bCs/>
          <w:color w:val="0077B6"/>
          <w:sz w:val="32"/>
          <w:szCs w:val="32"/>
        </w:rPr>
        <w:t xml:space="preserve">6. SUB-PROCESSOR MANAGEMENT</w:t>
      </w:r>
    </w:p>
    <w:p>
      <w:pPr>
        <w:spacing w:after="100" w:before="100"/>
      </w:pPr>
      <w:r>
        <w:rPr>
          <w:rFonts w:ascii="Arial" w:cs="Arial" w:eastAsia="Arial" w:hAnsi="Arial"/>
          <w:b/>
          <w:bCs/>
          <w:color w:val="333333"/>
          <w:sz w:val="22"/>
          <w:szCs w:val="22"/>
        </w:rPr>
        <w:t xml:space="preserve">6.01.</w:t>
      </w:r>
      <w:r>
        <w:rPr>
          <w:rFonts w:ascii="Arial" w:cs="Arial" w:eastAsia="Arial" w:hAnsi="Arial"/>
          <w:color w:val="333333"/>
          <w:sz w:val="22"/>
          <w:szCs w:val="22"/>
        </w:rPr>
        <w:t xml:space="preserve"> Client provides general authorization for Technijian to engage sub-processors listed in Annex III. Technijian shall notify Client in writing at least </w:t>
      </w:r>
      <w:r>
        <w:rPr>
          <w:rFonts w:ascii="Arial" w:cs="Arial" w:eastAsia="Arial" w:hAnsi="Arial"/>
          <w:b/>
          <w:bCs/>
          <w:color w:val="333333"/>
          <w:sz w:val="22"/>
          <w:szCs w:val="22"/>
        </w:rPr>
        <w:t xml:space="preserve">thirty (30) days</w:t>
      </w:r>
      <w:r>
        <w:rPr>
          <w:rFonts w:ascii="Arial" w:cs="Arial" w:eastAsia="Arial" w:hAnsi="Arial"/>
          <w:color w:val="333333"/>
          <w:sz w:val="22"/>
          <w:szCs w:val="22"/>
        </w:rPr>
        <w:t xml:space="preserve"> before adding or replacing a sub-processor, providing the sub-processor's name, location, and services to be performed.</w:t>
      </w:r>
    </w:p>
    <w:p>
      <w:pPr>
        <w:spacing w:after="100" w:before="100"/>
      </w:pPr>
      <w:r>
        <w:rPr>
          <w:rFonts w:ascii="Arial" w:cs="Arial" w:eastAsia="Arial" w:hAnsi="Arial"/>
          <w:b/>
          <w:bCs/>
          <w:color w:val="333333"/>
          <w:sz w:val="22"/>
          <w:szCs w:val="22"/>
        </w:rPr>
        <w:t xml:space="preserve">6.02.</w:t>
      </w:r>
      <w:r>
        <w:rPr>
          <w:rFonts w:ascii="Arial" w:cs="Arial" w:eastAsia="Arial" w:hAnsi="Arial"/>
          <w:color w:val="333333"/>
          <w:sz w:val="22"/>
          <w:szCs w:val="22"/>
        </w:rPr>
        <w:t xml:space="preserve"> Client may object to a new sub-processor on reasonable data protection grounds by notifying Technijian in writing within </w:t>
      </w:r>
      <w:r>
        <w:rPr>
          <w:rFonts w:ascii="Arial" w:cs="Arial" w:eastAsia="Arial" w:hAnsi="Arial"/>
          <w:b/>
          <w:bCs/>
          <w:color w:val="333333"/>
          <w:sz w:val="22"/>
          <w:szCs w:val="22"/>
        </w:rPr>
        <w:t xml:space="preserve">fifteen (15) days</w:t>
      </w:r>
      <w:r>
        <w:rPr>
          <w:rFonts w:ascii="Arial" w:cs="Arial" w:eastAsia="Arial" w:hAnsi="Arial"/>
          <w:color w:val="333333"/>
          <w:sz w:val="22"/>
          <w:szCs w:val="22"/>
        </w:rPr>
        <w:t xml:space="preserve"> of receiving notice. If Client objects, the Parties shall negotiate in good faith to resolve the concern. If resolution is not possible within thirty (30) days, Client may terminate the affected services without penalty.</w:t>
      </w:r>
    </w:p>
    <w:p>
      <w:pPr>
        <w:spacing w:after="100" w:before="100"/>
      </w:pPr>
      <w:r>
        <w:rPr>
          <w:rFonts w:ascii="Arial" w:cs="Arial" w:eastAsia="Arial" w:hAnsi="Arial"/>
          <w:b/>
          <w:bCs/>
          <w:color w:val="333333"/>
          <w:sz w:val="22"/>
          <w:szCs w:val="22"/>
        </w:rPr>
        <w:t xml:space="preserve">6.03.</w:t>
      </w:r>
      <w:r>
        <w:rPr>
          <w:rFonts w:ascii="Arial" w:cs="Arial" w:eastAsia="Arial" w:hAnsi="Arial"/>
          <w:color w:val="333333"/>
          <w:sz w:val="22"/>
          <w:szCs w:val="22"/>
        </w:rPr>
        <w:t xml:space="preserve"> Technijian shall impose on each sub-processor, by way of a written agreement, data protection obligations at least as protective as those set forth in this DPA, including the restrictions in Sections 3 and 4.</w:t>
      </w:r>
    </w:p>
    <w:p>
      <w:pPr>
        <w:spacing w:after="100" w:before="100"/>
      </w:pPr>
      <w:r>
        <w:rPr>
          <w:rFonts w:ascii="Arial" w:cs="Arial" w:eastAsia="Arial" w:hAnsi="Arial"/>
          <w:b/>
          <w:bCs/>
          <w:color w:val="333333"/>
          <w:sz w:val="22"/>
          <w:szCs w:val="22"/>
        </w:rPr>
        <w:t xml:space="preserve">6.04.</w:t>
      </w:r>
      <w:r>
        <w:rPr>
          <w:rFonts w:ascii="Arial" w:cs="Arial" w:eastAsia="Arial" w:hAnsi="Arial"/>
          <w:color w:val="333333"/>
          <w:sz w:val="22"/>
          <w:szCs w:val="22"/>
        </w:rPr>
        <w:t xml:space="preserve"> Technijian shall remain fully liable for the acts and omissions of its sub-processors with respect to Personal Information as if Technijian had performed the processing itself.</w:t>
      </w:r>
    </w:p>
    <w:p>
      <w:pPr>
        <w:spacing w:after="100" w:before="100"/>
      </w:pPr>
      <w:r>
        <w:rPr>
          <w:rFonts w:ascii="Arial" w:cs="Arial" w:eastAsia="Arial" w:hAnsi="Arial"/>
          <w:b/>
          <w:bCs/>
          <w:color w:val="333333"/>
          <w:sz w:val="22"/>
          <w:szCs w:val="22"/>
        </w:rPr>
        <w:t xml:space="preserve">6.05.</w:t>
      </w:r>
      <w:r>
        <w:rPr>
          <w:rFonts w:ascii="Arial" w:cs="Arial" w:eastAsia="Arial" w:hAnsi="Arial"/>
          <w:color w:val="333333"/>
          <w:sz w:val="22"/>
          <w:szCs w:val="22"/>
        </w:rPr>
        <w:t xml:space="preserve"> Technijian currently uses offshore personnel (India-based staff) as described in MSA Section 1.10 and Schedule A, Part 3. These personnel are bound by Technijian's Information Security Program (WISP) and equivalent confidentiality obligations.</w:t>
      </w:r>
    </w:p>
    <w:p>
      <w:pPr>
        <w:pStyle w:val="Heading1"/>
        <w:pageBreakBefore/>
      </w:pPr>
      <w:r>
        <w:rPr>
          <w:rFonts w:ascii="Arial" w:cs="Arial" w:eastAsia="Arial" w:hAnsi="Arial"/>
          <w:b/>
          <w:bCs/>
          <w:color w:val="0077B6"/>
          <w:sz w:val="32"/>
          <w:szCs w:val="32"/>
        </w:rPr>
        <w:t xml:space="preserve">7. DATA SUBJECT / CONSUMER RIGHTS COOPERATION</w:t>
      </w:r>
    </w:p>
    <w:p>
      <w:pPr>
        <w:spacing w:after="100" w:before="100"/>
      </w:pPr>
      <w:r>
        <w:rPr>
          <w:rFonts w:ascii="Arial" w:cs="Arial" w:eastAsia="Arial" w:hAnsi="Arial"/>
          <w:b/>
          <w:bCs/>
          <w:color w:val="333333"/>
          <w:sz w:val="22"/>
          <w:szCs w:val="22"/>
        </w:rPr>
        <w:t xml:space="preserve">7.01.</w:t>
      </w:r>
      <w:r>
        <w:rPr>
          <w:rFonts w:ascii="Arial" w:cs="Arial" w:eastAsia="Arial" w:hAnsi="Arial"/>
          <w:color w:val="333333"/>
          <w:sz w:val="22"/>
          <w:szCs w:val="22"/>
        </w:rPr>
        <w:t xml:space="preserve"> Technijian shall promptly notify Client if Technijian receives a request from a Data Subject or Consumer to exercise rights under Applicable Data Protection Law (including access, deletion, correction, portability, restriction, or opt-out). Technijian shall not respond to such requests directly unless authorized by Client.</w:t>
      </w:r>
    </w:p>
    <w:p>
      <w:pPr>
        <w:spacing w:after="100" w:before="100"/>
      </w:pPr>
      <w:r>
        <w:rPr>
          <w:rFonts w:ascii="Arial" w:cs="Arial" w:eastAsia="Arial" w:hAnsi="Arial"/>
          <w:b/>
          <w:bCs/>
          <w:color w:val="333333"/>
          <w:sz w:val="22"/>
          <w:szCs w:val="22"/>
        </w:rPr>
        <w:t xml:space="preserve">7.02.</w:t>
      </w:r>
      <w:r>
        <w:rPr>
          <w:rFonts w:ascii="Arial" w:cs="Arial" w:eastAsia="Arial" w:hAnsi="Arial"/>
          <w:color w:val="333333"/>
          <w:sz w:val="22"/>
          <w:szCs w:val="22"/>
        </w:rPr>
        <w:t xml:space="preserve"> Technijian shall provide Client with commercially reasonable assistance in fulfilling Client's obligations to respond to Data Subject/Consumer requests, including by providing relevant data extracts, deletion confirmations, and processing records.</w:t>
      </w:r>
    </w:p>
    <w:p>
      <w:pPr>
        <w:pStyle w:val="Heading1"/>
        <w:pageBreakBefore/>
      </w:pPr>
      <w:r>
        <w:rPr>
          <w:rFonts w:ascii="Arial" w:cs="Arial" w:eastAsia="Arial" w:hAnsi="Arial"/>
          <w:b/>
          <w:bCs/>
          <w:color w:val="0077B6"/>
          <w:sz w:val="32"/>
          <w:szCs w:val="32"/>
        </w:rPr>
        <w:t xml:space="preserve">8. INTERNATIONAL TRANSFERS</w:t>
      </w:r>
    </w:p>
    <w:p>
      <w:pPr>
        <w:spacing w:after="100" w:before="100"/>
      </w:pPr>
      <w:r>
        <w:rPr>
          <w:rFonts w:ascii="Arial" w:cs="Arial" w:eastAsia="Arial" w:hAnsi="Arial"/>
          <w:b/>
          <w:bCs/>
          <w:color w:val="333333"/>
          <w:sz w:val="22"/>
          <w:szCs w:val="22"/>
        </w:rPr>
        <w:t xml:space="preserve">8.01.</w:t>
      </w:r>
      <w:r>
        <w:rPr>
          <w:rFonts w:ascii="Arial" w:cs="Arial" w:eastAsia="Arial" w:hAnsi="Arial"/>
          <w:color w:val="333333"/>
          <w:sz w:val="22"/>
          <w:szCs w:val="22"/>
        </w:rPr>
        <w:t xml:space="preserve"> To the extent Technijian transfers Personal Information outside the United States or the European Economic Area in connection with the services (including to offshore personnel), Technijian shall ensure that appropriate safeguards are in place, including:</w:t>
      </w:r>
    </w:p>
    <w:p>
      <w:pPr>
        <w:spacing w:after="100" w:before="100"/>
      </w:pPr>
      <w:r>
        <w:rPr>
          <w:rFonts w:ascii="Arial" w:cs="Arial" w:eastAsia="Arial" w:hAnsi="Arial"/>
          <w:color w:val="333333"/>
          <w:sz w:val="22"/>
          <w:szCs w:val="22"/>
        </w:rPr>
        <w:t xml:space="preserve">(a) For transfers subject to the GDPR: Standard Contractual Clauses approved by the European Commission (Module Two: Controller to Processor), which are incorporated into this DPA by reference;</w:t>
      </w:r>
    </w:p>
    <w:p>
      <w:pPr>
        <w:spacing w:after="100" w:before="100"/>
      </w:pPr>
      <w:r>
        <w:rPr>
          <w:rFonts w:ascii="Arial" w:cs="Arial" w:eastAsia="Arial" w:hAnsi="Arial"/>
          <w:color w:val="333333"/>
          <w:sz w:val="22"/>
          <w:szCs w:val="22"/>
        </w:rPr>
        <w:t xml:space="preserve">(b) For transfers subject to the UK GDPR: The International Data Transfer Addendum to the EU Standard Contractual Clauses, issued by the UK Information Commissioner's Office; and</w:t>
      </w:r>
    </w:p>
    <w:p>
      <w:pPr>
        <w:spacing w:after="100" w:before="100"/>
      </w:pPr>
      <w:r>
        <w:rPr>
          <w:rFonts w:ascii="Arial" w:cs="Arial" w:eastAsia="Arial" w:hAnsi="Arial"/>
          <w:color w:val="333333"/>
          <w:sz w:val="22"/>
          <w:szCs w:val="22"/>
        </w:rPr>
        <w:t xml:space="preserve">(c) A transfer impact assessment documenting the data protection laws of the recipient country and any supplementary measures implemented.</w:t>
      </w:r>
    </w:p>
    <w:p>
      <w:pPr>
        <w:pStyle w:val="Heading1"/>
        <w:pageBreakBefore/>
      </w:pPr>
      <w:r>
        <w:rPr>
          <w:rFonts w:ascii="Arial" w:cs="Arial" w:eastAsia="Arial" w:hAnsi="Arial"/>
          <w:b/>
          <w:bCs/>
          <w:color w:val="0077B6"/>
          <w:sz w:val="32"/>
          <w:szCs w:val="32"/>
        </w:rPr>
        <w:t xml:space="preserve">9. SECURITY MEASURES</w:t>
      </w:r>
    </w:p>
    <w:p>
      <w:pPr>
        <w:spacing w:after="100" w:before="100"/>
      </w:pPr>
      <w:r>
        <w:rPr>
          <w:rFonts w:ascii="Arial" w:cs="Arial" w:eastAsia="Arial" w:hAnsi="Arial"/>
          <w:b/>
          <w:bCs/>
          <w:color w:val="333333"/>
          <w:sz w:val="22"/>
          <w:szCs w:val="22"/>
        </w:rPr>
        <w:t xml:space="preserve">9.01.</w:t>
      </w:r>
      <w:r>
        <w:rPr>
          <w:rFonts w:ascii="Arial" w:cs="Arial" w:eastAsia="Arial" w:hAnsi="Arial"/>
          <w:color w:val="333333"/>
          <w:sz w:val="22"/>
          <w:szCs w:val="22"/>
        </w:rPr>
        <w:t xml:space="preserve"> Technijian shall implement and maintain the technical and organizational security measures described in Annex II and the Technijian Information Security Program (WISP), including at a minimum:</w:t>
      </w:r>
    </w:p>
    <w:p>
      <w:pPr>
        <w:spacing w:after="100" w:before="100"/>
      </w:pPr>
      <w:r>
        <w:rPr>
          <w:rFonts w:ascii="Arial" w:cs="Arial" w:eastAsia="Arial" w:hAnsi="Arial"/>
          <w:color w:val="333333"/>
          <w:sz w:val="22"/>
          <w:szCs w:val="22"/>
        </w:rPr>
        <w:t xml:space="preserve">(a) Encryption of Personal Information in transit (TLS 1.2+) and at rest (AES-256);</w:t>
      </w:r>
    </w:p>
    <w:p>
      <w:pPr>
        <w:spacing w:after="100" w:before="100"/>
      </w:pPr>
      <w:r>
        <w:rPr>
          <w:rFonts w:ascii="Arial" w:cs="Arial" w:eastAsia="Arial" w:hAnsi="Arial"/>
          <w:color w:val="333333"/>
          <w:sz w:val="22"/>
          <w:szCs w:val="22"/>
        </w:rPr>
        <w:t xml:space="preserve">(b) Multi-factor authentication for all remote access and privileged accounts;</w:t>
      </w:r>
    </w:p>
    <w:p>
      <w:pPr>
        <w:spacing w:after="100" w:before="100"/>
      </w:pPr>
      <w:r>
        <w:rPr>
          <w:rFonts w:ascii="Arial" w:cs="Arial" w:eastAsia="Arial" w:hAnsi="Arial"/>
          <w:color w:val="333333"/>
          <w:sz w:val="22"/>
          <w:szCs w:val="22"/>
        </w:rPr>
        <w:t xml:space="preserve">(c) Endpoint Detection and Response (CrowdStrike Falcon) on all managed endpoints;</w:t>
      </w:r>
    </w:p>
    <w:p>
      <w:pPr>
        <w:spacing w:after="100" w:before="100"/>
      </w:pPr>
      <w:r>
        <w:rPr>
          <w:rFonts w:ascii="Arial" w:cs="Arial" w:eastAsia="Arial" w:hAnsi="Arial"/>
          <w:color w:val="333333"/>
          <w:sz w:val="22"/>
          <w:szCs w:val="22"/>
        </w:rPr>
        <w:t xml:space="preserve">(d) Access controls based on the principle of least privilege, with quarterly access reviews;</w:t>
      </w:r>
    </w:p>
    <w:p>
      <w:pPr>
        <w:spacing w:after="100" w:before="100"/>
      </w:pPr>
      <w:r>
        <w:rPr>
          <w:rFonts w:ascii="Arial" w:cs="Arial" w:eastAsia="Arial" w:hAnsi="Arial"/>
          <w:color w:val="333333"/>
          <w:sz w:val="22"/>
          <w:szCs w:val="22"/>
        </w:rPr>
        <w:t xml:space="preserve">(e) Network segmentation and firewall protection (Sophos);</w:t>
      </w:r>
    </w:p>
    <w:p>
      <w:pPr>
        <w:spacing w:after="100" w:before="100"/>
      </w:pPr>
      <w:r>
        <w:rPr>
          <w:rFonts w:ascii="Arial" w:cs="Arial" w:eastAsia="Arial" w:hAnsi="Arial"/>
          <w:color w:val="333333"/>
          <w:sz w:val="22"/>
          <w:szCs w:val="22"/>
        </w:rPr>
        <w:t xml:space="preserve">(f) Regular vulnerability assessments and penetration testing;</w:t>
      </w:r>
    </w:p>
    <w:p>
      <w:pPr>
        <w:spacing w:after="100" w:before="100"/>
      </w:pPr>
      <w:r>
        <w:rPr>
          <w:rFonts w:ascii="Arial" w:cs="Arial" w:eastAsia="Arial" w:hAnsi="Arial"/>
          <w:color w:val="333333"/>
          <w:sz w:val="22"/>
          <w:szCs w:val="22"/>
        </w:rPr>
        <w:t xml:space="preserve">(g) Security awareness training for all personnel with access to Personal Information; and</w:t>
      </w:r>
    </w:p>
    <w:p>
      <w:pPr>
        <w:spacing w:after="100" w:before="100"/>
      </w:pPr>
      <w:r>
        <w:rPr>
          <w:rFonts w:ascii="Arial" w:cs="Arial" w:eastAsia="Arial" w:hAnsi="Arial"/>
          <w:color w:val="333333"/>
          <w:sz w:val="22"/>
          <w:szCs w:val="22"/>
        </w:rPr>
        <w:t xml:space="preserve">(h) Physical security controls at the TPX data center (SOC 2 Type II certified) and Technijian facilities.</w:t>
      </w:r>
    </w:p>
    <w:p>
      <w:pPr>
        <w:pStyle w:val="Heading1"/>
        <w:pageBreakBefore/>
      </w:pPr>
      <w:r>
        <w:rPr>
          <w:rFonts w:ascii="Arial" w:cs="Arial" w:eastAsia="Arial" w:hAnsi="Arial"/>
          <w:b/>
          <w:bCs/>
          <w:color w:val="0077B6"/>
          <w:sz w:val="32"/>
          <w:szCs w:val="32"/>
        </w:rPr>
        <w:t xml:space="preserve">10. DATA BREACH NOTIFICATION</w:t>
      </w:r>
    </w:p>
    <w:p>
      <w:pPr>
        <w:spacing w:after="100" w:before="100"/>
      </w:pPr>
      <w:r>
        <w:rPr>
          <w:rFonts w:ascii="Arial" w:cs="Arial" w:eastAsia="Arial" w:hAnsi="Arial"/>
          <w:b/>
          <w:bCs/>
          <w:color w:val="333333"/>
          <w:sz w:val="22"/>
          <w:szCs w:val="22"/>
        </w:rPr>
        <w:t xml:space="preserve">10.01.</w:t>
      </w:r>
      <w:r>
        <w:rPr>
          <w:rFonts w:ascii="Arial" w:cs="Arial" w:eastAsia="Arial" w:hAnsi="Arial"/>
          <w:color w:val="333333"/>
          <w:sz w:val="22"/>
          <w:szCs w:val="22"/>
        </w:rPr>
        <w:t xml:space="preserve"> In the event of a Security Incident involving Personal Information processed under this DPA, the notification obligations of MSA Section 10.02 shall apply, including:</w:t>
      </w:r>
    </w:p>
    <w:p>
      <w:pPr>
        <w:spacing w:after="100" w:before="100"/>
      </w:pPr>
      <w:r>
        <w:rPr>
          <w:rFonts w:ascii="Arial" w:cs="Arial" w:eastAsia="Arial" w:hAnsi="Arial"/>
          <w:color w:val="333333"/>
          <w:sz w:val="22"/>
          <w:szCs w:val="22"/>
        </w:rPr>
        <w:t xml:space="preserve">(a) Notification to Client within </w:t>
      </w:r>
      <w:r>
        <w:rPr>
          <w:rFonts w:ascii="Arial" w:cs="Arial" w:eastAsia="Arial" w:hAnsi="Arial"/>
          <w:b/>
          <w:bCs/>
          <w:color w:val="333333"/>
          <w:sz w:val="22"/>
          <w:szCs w:val="22"/>
        </w:rPr>
        <w:t xml:space="preserve">forty-eight (48) hours</w:t>
      </w:r>
      <w:r>
        <w:rPr>
          <w:rFonts w:ascii="Arial" w:cs="Arial" w:eastAsia="Arial" w:hAnsi="Arial"/>
          <w:color w:val="333333"/>
          <w:sz w:val="22"/>
          <w:szCs w:val="22"/>
        </w:rPr>
        <w:t xml:space="preserve"> of becoming aware of the Security Incident;</w:t>
      </w:r>
    </w:p>
    <w:p>
      <w:pPr>
        <w:spacing w:after="100" w:before="100"/>
      </w:pPr>
      <w:r>
        <w:rPr>
          <w:rFonts w:ascii="Arial" w:cs="Arial" w:eastAsia="Arial" w:hAnsi="Arial"/>
          <w:color w:val="333333"/>
          <w:sz w:val="22"/>
          <w:szCs w:val="22"/>
        </w:rPr>
        <w:t xml:space="preserve">(b) Provision of sufficient information to enable Client to comply with breach notification obligations under Cal. Civ. Code § 1798.82, GDPR Art. 33, and any other applicable law;</w:t>
      </w:r>
    </w:p>
    <w:p>
      <w:pPr>
        <w:spacing w:after="100" w:before="100"/>
      </w:pPr>
      <w:r>
        <w:rPr>
          <w:rFonts w:ascii="Arial" w:cs="Arial" w:eastAsia="Arial" w:hAnsi="Arial"/>
          <w:color w:val="333333"/>
          <w:sz w:val="22"/>
          <w:szCs w:val="22"/>
        </w:rPr>
        <w:t xml:space="preserve">(c) If the Security Incident affects </w:t>
      </w:r>
      <w:r>
        <w:rPr>
          <w:rFonts w:ascii="Arial" w:cs="Arial" w:eastAsia="Arial" w:hAnsi="Arial"/>
          <w:b/>
          <w:bCs/>
          <w:color w:val="333333"/>
          <w:sz w:val="22"/>
          <w:szCs w:val="22"/>
        </w:rPr>
        <w:t xml:space="preserve">five hundred (500) or more California residents</w:t>
      </w:r>
      <w:r>
        <w:rPr>
          <w:rFonts w:ascii="Arial" w:cs="Arial" w:eastAsia="Arial" w:hAnsi="Arial"/>
          <w:color w:val="333333"/>
          <w:sz w:val="22"/>
          <w:szCs w:val="22"/>
        </w:rPr>
        <w:t xml:space="preserve">, cooperation with Client in preparing and submitting the notification required under Cal. Civ. Code § 1798.82(f) to the California Attorney General; and</w:t>
      </w:r>
    </w:p>
    <w:p>
      <w:pPr>
        <w:spacing w:after="100" w:before="100"/>
      </w:pPr>
      <w:r>
        <w:rPr>
          <w:rFonts w:ascii="Arial" w:cs="Arial" w:eastAsia="Arial" w:hAnsi="Arial"/>
          <w:color w:val="333333"/>
          <w:sz w:val="22"/>
          <w:szCs w:val="22"/>
        </w:rPr>
        <w:t xml:space="preserve">(d) If Personal Information includes PHI subject to HIPAA, notification shall also comply with 45 CFR § 164.410.</w:t>
      </w:r>
    </w:p>
    <w:p>
      <w:pPr>
        <w:pStyle w:val="Heading1"/>
        <w:pageBreakBefore/>
      </w:pPr>
      <w:r>
        <w:rPr>
          <w:rFonts w:ascii="Arial" w:cs="Arial" w:eastAsia="Arial" w:hAnsi="Arial"/>
          <w:b/>
          <w:bCs/>
          <w:color w:val="0077B6"/>
          <w:sz w:val="32"/>
          <w:szCs w:val="32"/>
        </w:rPr>
        <w:t xml:space="preserve">11. DATA RETURN AND DELETION</w:t>
      </w:r>
    </w:p>
    <w:p>
      <w:pPr>
        <w:spacing w:after="100" w:before="100"/>
      </w:pPr>
      <w:r>
        <w:rPr>
          <w:rFonts w:ascii="Arial" w:cs="Arial" w:eastAsia="Arial" w:hAnsi="Arial"/>
          <w:b/>
          <w:bCs/>
          <w:color w:val="333333"/>
          <w:sz w:val="22"/>
          <w:szCs w:val="22"/>
        </w:rPr>
        <w:t xml:space="preserve">11.01.</w:t>
      </w:r>
      <w:r>
        <w:rPr>
          <w:rFonts w:ascii="Arial" w:cs="Arial" w:eastAsia="Arial" w:hAnsi="Arial"/>
          <w:color w:val="333333"/>
          <w:sz w:val="22"/>
          <w:szCs w:val="22"/>
        </w:rPr>
        <w:t xml:space="preserve"> Subject to MSA Section 2.05(c), upon termination of the MSA or this DPA, or upon Client's written request, Technijian shall securely delete or return all Personal Information in its possession within </w:t>
      </w:r>
      <w:r>
        <w:rPr>
          <w:rFonts w:ascii="Arial" w:cs="Arial" w:eastAsia="Arial" w:hAnsi="Arial"/>
          <w:b/>
          <w:bCs/>
          <w:color w:val="333333"/>
          <w:sz w:val="22"/>
          <w:szCs w:val="22"/>
        </w:rPr>
        <w:t xml:space="preserve">thirty (30) days</w:t>
      </w:r>
      <w:r>
        <w:rPr>
          <w:rFonts w:ascii="Arial" w:cs="Arial" w:eastAsia="Arial" w:hAnsi="Arial"/>
          <w:color w:val="333333"/>
          <w:sz w:val="22"/>
          <w:szCs w:val="22"/>
        </w:rPr>
        <w:t xml:space="preserve">, using methods consistent with NIST SP 800-88 (Guidelines for Media Sanitization).</w:t>
      </w:r>
    </w:p>
    <w:p>
      <w:pPr>
        <w:spacing w:after="100" w:before="100"/>
      </w:pPr>
      <w:r>
        <w:rPr>
          <w:rFonts w:ascii="Arial" w:cs="Arial" w:eastAsia="Arial" w:hAnsi="Arial"/>
          <w:b/>
          <w:bCs/>
          <w:color w:val="333333"/>
          <w:sz w:val="22"/>
          <w:szCs w:val="22"/>
        </w:rPr>
        <w:t xml:space="preserve">11.02.</w:t>
      </w:r>
      <w:r>
        <w:rPr>
          <w:rFonts w:ascii="Arial" w:cs="Arial" w:eastAsia="Arial" w:hAnsi="Arial"/>
          <w:color w:val="333333"/>
          <w:sz w:val="22"/>
          <w:szCs w:val="22"/>
        </w:rPr>
        <w:t xml:space="preserve"> Technijian shall certify deletion in writing upon Client's request.</w:t>
      </w:r>
    </w:p>
    <w:p>
      <w:pPr>
        <w:spacing w:after="100" w:before="100"/>
      </w:pPr>
      <w:r>
        <w:rPr>
          <w:rFonts w:ascii="Arial" w:cs="Arial" w:eastAsia="Arial" w:hAnsi="Arial"/>
          <w:b/>
          <w:bCs/>
          <w:color w:val="333333"/>
          <w:sz w:val="22"/>
          <w:szCs w:val="22"/>
        </w:rPr>
        <w:t xml:space="preserve">11.03.</w:t>
      </w:r>
      <w:r>
        <w:rPr>
          <w:rFonts w:ascii="Arial" w:cs="Arial" w:eastAsia="Arial" w:hAnsi="Arial"/>
          <w:color w:val="333333"/>
          <w:sz w:val="22"/>
          <w:szCs w:val="22"/>
        </w:rPr>
        <w:t xml:space="preserve"> Technijian may retain copies of Personal Information only to the extent required by applicable law, provided such retained data remains subject to the obligations of this DPA.</w:t>
      </w:r>
    </w:p>
    <w:p>
      <w:pPr>
        <w:pStyle w:val="Heading1"/>
        <w:pageBreakBefore/>
      </w:pPr>
      <w:r>
        <w:rPr>
          <w:rFonts w:ascii="Arial" w:cs="Arial" w:eastAsia="Arial" w:hAnsi="Arial"/>
          <w:b/>
          <w:bCs/>
          <w:color w:val="0077B6"/>
          <w:sz w:val="32"/>
          <w:szCs w:val="32"/>
        </w:rPr>
        <w:t xml:space="preserve">12. AUDIT RIGHTS</w:t>
      </w:r>
    </w:p>
    <w:p>
      <w:pPr>
        <w:spacing w:after="100" w:before="100"/>
      </w:pPr>
      <w:r>
        <w:rPr>
          <w:rFonts w:ascii="Arial" w:cs="Arial" w:eastAsia="Arial" w:hAnsi="Arial"/>
          <w:b/>
          <w:bCs/>
          <w:color w:val="333333"/>
          <w:sz w:val="22"/>
          <w:szCs w:val="22"/>
        </w:rPr>
        <w:t xml:space="preserve">12.01.</w:t>
      </w:r>
      <w:r>
        <w:rPr>
          <w:rFonts w:ascii="Arial" w:cs="Arial" w:eastAsia="Arial" w:hAnsi="Arial"/>
          <w:color w:val="333333"/>
          <w:sz w:val="22"/>
          <w:szCs w:val="22"/>
        </w:rPr>
        <w:t xml:space="preserve"> Client may, upon </w:t>
      </w:r>
      <w:r>
        <w:rPr>
          <w:rFonts w:ascii="Arial" w:cs="Arial" w:eastAsia="Arial" w:hAnsi="Arial"/>
          <w:b/>
          <w:bCs/>
          <w:color w:val="333333"/>
          <w:sz w:val="22"/>
          <w:szCs w:val="22"/>
        </w:rPr>
        <w:t xml:space="preserve">thirty (30) days</w:t>
      </w:r>
      <w:r>
        <w:rPr>
          <w:rFonts w:ascii="Arial" w:cs="Arial" w:eastAsia="Arial" w:hAnsi="Arial"/>
          <w:color w:val="333333"/>
          <w:sz w:val="22"/>
          <w:szCs w:val="22"/>
        </w:rPr>
        <w:t xml:space="preserve"> written notice and no more than once per twelve (12) month period, audit or inspect Technijian's data processing practices to verify compliance with this DPA.</w:t>
      </w:r>
    </w:p>
    <w:p>
      <w:pPr>
        <w:spacing w:after="100" w:before="100"/>
      </w:pPr>
      <w:r>
        <w:rPr>
          <w:rFonts w:ascii="Arial" w:cs="Arial" w:eastAsia="Arial" w:hAnsi="Arial"/>
          <w:b/>
          <w:bCs/>
          <w:color w:val="333333"/>
          <w:sz w:val="22"/>
          <w:szCs w:val="22"/>
        </w:rPr>
        <w:t xml:space="preserve">12.02.</w:t>
      </w:r>
      <w:r>
        <w:rPr>
          <w:rFonts w:ascii="Arial" w:cs="Arial" w:eastAsia="Arial" w:hAnsi="Arial"/>
          <w:color w:val="333333"/>
          <w:sz w:val="22"/>
          <w:szCs w:val="22"/>
        </w:rPr>
        <w:t xml:space="preserve"> At Technijian's option, Technijian may satisfy the audit right by providing Client with a summary of a recent independent third-party audit (such as SOC 2 Type II) covering the relevant controls, supplemented by written responses to Client's specific questions.</w:t>
      </w:r>
    </w:p>
    <w:p>
      <w:pPr>
        <w:spacing w:after="100" w:before="100"/>
      </w:pPr>
      <w:r>
        <w:rPr>
          <w:rFonts w:ascii="Arial" w:cs="Arial" w:eastAsia="Arial" w:hAnsi="Arial"/>
          <w:b/>
          <w:bCs/>
          <w:color w:val="333333"/>
          <w:sz w:val="22"/>
          <w:szCs w:val="22"/>
        </w:rPr>
        <w:t xml:space="preserve">12.03.</w:t>
      </w:r>
      <w:r>
        <w:rPr>
          <w:rFonts w:ascii="Arial" w:cs="Arial" w:eastAsia="Arial" w:hAnsi="Arial"/>
          <w:color w:val="333333"/>
          <w:sz w:val="22"/>
          <w:szCs w:val="22"/>
        </w:rPr>
        <w:t xml:space="preserve"> Audits shall be conducted during normal business hours, shall not unreasonably interfere with Technijian's operations, and shall be subject to Technijian's confidentiality requirements.</w:t>
      </w:r>
    </w:p>
    <w:p>
      <w:pPr>
        <w:pStyle w:val="Heading1"/>
        <w:pageBreakBefore/>
      </w:pPr>
      <w:r>
        <w:rPr>
          <w:rFonts w:ascii="Arial" w:cs="Arial" w:eastAsia="Arial" w:hAnsi="Arial"/>
          <w:b/>
          <w:bCs/>
          <w:color w:val="0077B6"/>
          <w:sz w:val="32"/>
          <w:szCs w:val="32"/>
        </w:rPr>
        <w:t xml:space="preserve">13. TERM AND TERMINATION</w:t>
      </w:r>
    </w:p>
    <w:p>
      <w:pPr>
        <w:spacing w:after="100" w:before="100"/>
      </w:pPr>
      <w:r>
        <w:rPr>
          <w:rFonts w:ascii="Arial" w:cs="Arial" w:eastAsia="Arial" w:hAnsi="Arial"/>
          <w:b/>
          <w:bCs/>
          <w:color w:val="333333"/>
          <w:sz w:val="22"/>
          <w:szCs w:val="22"/>
        </w:rPr>
        <w:t xml:space="preserve">13.01.</w:t>
      </w:r>
      <w:r>
        <w:rPr>
          <w:rFonts w:ascii="Arial" w:cs="Arial" w:eastAsia="Arial" w:hAnsi="Arial"/>
          <w:color w:val="333333"/>
          <w:sz w:val="22"/>
          <w:szCs w:val="22"/>
        </w:rPr>
        <w:t xml:space="preserve"> This DPA shall be effective for the duration of the MSA and shall automatically terminate upon termination of the MSA.</w:t>
      </w:r>
    </w:p>
    <w:p>
      <w:pPr>
        <w:spacing w:after="100" w:before="100"/>
      </w:pPr>
      <w:r>
        <w:rPr>
          <w:rFonts w:ascii="Arial" w:cs="Arial" w:eastAsia="Arial" w:hAnsi="Arial"/>
          <w:b/>
          <w:bCs/>
          <w:color w:val="333333"/>
          <w:sz w:val="22"/>
          <w:szCs w:val="22"/>
        </w:rPr>
        <w:t xml:space="preserve">13.02.</w:t>
      </w:r>
      <w:r>
        <w:rPr>
          <w:rFonts w:ascii="Arial" w:cs="Arial" w:eastAsia="Arial" w:hAnsi="Arial"/>
          <w:color w:val="333333"/>
          <w:sz w:val="22"/>
          <w:szCs w:val="22"/>
        </w:rPr>
        <w:t xml:space="preserve"> The obligations of Sections 3, 6.04, 9, 10, 11, and 12 shall survive termination of this DPA.</w:t>
      </w:r>
    </w:p>
    <w:p>
      <w:pPr>
        <w:pStyle w:val="Heading1"/>
        <w:pageBreakBefore/>
      </w:pPr>
      <w:r>
        <w:rPr>
          <w:rFonts w:ascii="Arial" w:cs="Arial" w:eastAsia="Arial" w:hAnsi="Arial"/>
          <w:b/>
          <w:bCs/>
          <w:color w:val="0077B6"/>
          <w:sz w:val="32"/>
          <w:szCs w:val="32"/>
        </w:rPr>
        <w:t xml:space="preserve">14. LIABILITY</w:t>
      </w:r>
    </w:p>
    <w:p>
      <w:pPr>
        <w:spacing w:after="100" w:before="100"/>
      </w:pPr>
      <w:r>
        <w:rPr>
          <w:rFonts w:ascii="Arial" w:cs="Arial" w:eastAsia="Arial" w:hAnsi="Arial"/>
          <w:b/>
          <w:bCs/>
          <w:color w:val="333333"/>
          <w:sz w:val="22"/>
          <w:szCs w:val="22"/>
        </w:rPr>
        <w:t xml:space="preserve">14.01.</w:t>
      </w:r>
      <w:r>
        <w:rPr>
          <w:rFonts w:ascii="Arial" w:cs="Arial" w:eastAsia="Arial" w:hAnsi="Arial"/>
          <w:color w:val="333333"/>
          <w:sz w:val="22"/>
          <w:szCs w:val="22"/>
        </w:rPr>
        <w:t xml:space="preserve"> Each Party's liability under this DPA shall be subject to the limitations of liability set forth in MSA Section 5 (Limitation of Liability), including the Standard Cap, Enhanced Cap, and the uncapped liability for willful misappropriation of Confidential Information or Client Data.</w:t>
      </w:r>
    </w:p>
    <w:p>
      <w:pPr>
        <w:spacing w:after="100" w:before="100"/>
      </w:pPr>
      <w:r>
        <w:rPr>
          <w:rFonts w:ascii="Arial" w:cs="Arial" w:eastAsia="Arial" w:hAnsi="Arial"/>
          <w:b/>
          <w:bCs/>
          <w:color w:val="333333"/>
          <w:sz w:val="22"/>
          <w:szCs w:val="22"/>
        </w:rPr>
        <w:t xml:space="preserve">14.02.</w:t>
      </w:r>
      <w:r>
        <w:rPr>
          <w:rFonts w:ascii="Arial" w:cs="Arial" w:eastAsia="Arial" w:hAnsi="Arial"/>
          <w:color w:val="333333"/>
          <w:sz w:val="22"/>
          <w:szCs w:val="22"/>
        </w:rPr>
        <w:t xml:space="preserve"> Nothing in this DPA limits either Party's liability for breaches of Applicable Data Protection Law to the extent such limitation is prohibited by law.</w:t>
      </w:r>
    </w:p>
    <w:p>
      <w:pPr>
        <w:pStyle w:val="Heading1"/>
        <w:pageBreakBefore/>
      </w:pPr>
      <w:r>
        <w:rPr>
          <w:rFonts w:ascii="Arial" w:cs="Arial" w:eastAsia="Arial" w:hAnsi="Arial"/>
          <w:b/>
          <w:bCs/>
          <w:color w:val="0077B6"/>
          <w:sz w:val="32"/>
          <w:szCs w:val="32"/>
        </w:rPr>
        <w:t xml:space="preserve">15. GENERAL</w:t>
      </w:r>
    </w:p>
    <w:p>
      <w:pPr>
        <w:spacing w:after="100" w:before="100"/>
      </w:pPr>
      <w:r>
        <w:rPr>
          <w:rFonts w:ascii="Arial" w:cs="Arial" w:eastAsia="Arial" w:hAnsi="Arial"/>
          <w:b/>
          <w:bCs/>
          <w:color w:val="333333"/>
          <w:sz w:val="22"/>
          <w:szCs w:val="22"/>
        </w:rPr>
        <w:t xml:space="preserve">15.01.</w:t>
      </w:r>
      <w:r>
        <w:rPr>
          <w:rFonts w:ascii="Arial" w:cs="Arial" w:eastAsia="Arial" w:hAnsi="Arial"/>
          <w:color w:val="333333"/>
          <w:sz w:val="22"/>
          <w:szCs w:val="22"/>
        </w:rPr>
        <w:t xml:space="preserve"> This DPA is governed by the laws of the State of California, consistent with MSA Section 9.08.</w:t>
      </w:r>
    </w:p>
    <w:p>
      <w:pPr>
        <w:spacing w:after="100" w:before="100"/>
      </w:pPr>
      <w:r>
        <w:rPr>
          <w:rFonts w:ascii="Arial" w:cs="Arial" w:eastAsia="Arial" w:hAnsi="Arial"/>
          <w:b/>
          <w:bCs/>
          <w:color w:val="333333"/>
          <w:sz w:val="22"/>
          <w:szCs w:val="22"/>
        </w:rPr>
        <w:t xml:space="preserve">15.02.</w:t>
      </w:r>
      <w:r>
        <w:rPr>
          <w:rFonts w:ascii="Arial" w:cs="Arial" w:eastAsia="Arial" w:hAnsi="Arial"/>
          <w:color w:val="333333"/>
          <w:sz w:val="22"/>
          <w:szCs w:val="22"/>
        </w:rPr>
        <w:t xml:space="preserve"> In the event of a conflict between this DPA and the MSA, this DPA shall prevail with respect to data protection matters. In all other respects, the MSA shall prevail.</w:t>
      </w:r>
    </w:p>
    <w:p>
      <w:pPr>
        <w:spacing w:after="100" w:before="100"/>
      </w:pPr>
      <w:r>
        <w:rPr>
          <w:rFonts w:ascii="Arial" w:cs="Arial" w:eastAsia="Arial" w:hAnsi="Arial"/>
          <w:b/>
          <w:bCs/>
          <w:color w:val="333333"/>
          <w:sz w:val="22"/>
          <w:szCs w:val="22"/>
        </w:rPr>
        <w:t xml:space="preserve">15.03.</w:t>
      </w:r>
      <w:r>
        <w:rPr>
          <w:rFonts w:ascii="Arial" w:cs="Arial" w:eastAsia="Arial" w:hAnsi="Arial"/>
          <w:color w:val="333333"/>
          <w:sz w:val="22"/>
          <w:szCs w:val="22"/>
        </w:rPr>
        <w:t xml:space="preserve"> This DPA may be amended only by written agreement signed by both Parties. Technijian shall update this DPA as necessary to reflect changes in Applicable Data Protection Law and shall notify Client of material changes.</w:t>
      </w:r>
    </w:p>
    <w:p>
      <w:pPr>
        <w:pStyle w:val="Heading1"/>
        <w:pageBreakBefore/>
      </w:pPr>
      <w:r>
        <w:rPr>
          <w:rFonts w:ascii="Arial" w:cs="Arial" w:eastAsia="Arial" w:hAnsi="Arial"/>
          <w:b/>
          <w:bCs/>
          <w:color w:val="0077B6"/>
          <w:sz w:val="32"/>
          <w:szCs w:val="32"/>
        </w:rPr>
        <w:t xml:space="preserve">ANNEX I — PROCESSING DETAILS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Item</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Categories of Data Subjects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[e.g., Client employees, Client customers, end users]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Categories of Personal Information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[e.g., names, email addresses, IP addresses, device identifiers, financial data, health data]</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Sensitive Data (if any)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[e.g., PHI, PCI data, SSNs — specify]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Purpose of Processing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Performing managed IT services, cybersecurity, cloud infrastructure, and related technology solutions as described in the MSA and applicable Schedules/SOWs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Duration of Processing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 the term of the MSA, plus the data return/deletion period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Nature of Processing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Storage, backup, monitoring, access control, incident response, patch management, and other IT operations as described in the MSA</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Technijian's Role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Processor / Service Provider</w:t>
            </w:r>
          </w:p>
        </w:tc>
      </w:tr>
    </w:tbl>
    <w:p>
      <w:pPr>
        <w:spacing w:after="100"/>
      </w:pPr>
    </w:p>
    <w:p>
      <w:pPr>
        <w:pStyle w:val="Heading1"/>
        <w:pageBreakBefore/>
      </w:pPr>
      <w:r>
        <w:rPr>
          <w:rFonts w:ascii="Arial" w:cs="Arial" w:eastAsia="Arial" w:hAnsi="Arial"/>
          <w:b/>
          <w:bCs/>
          <w:color w:val="0077B6"/>
          <w:sz w:val="32"/>
          <w:szCs w:val="32"/>
        </w:rPr>
        <w:t xml:space="preserve">ANNEX II — TECHNICAL AND ORGANIZATIONAL MEASURES</w:t>
      </w:r>
    </w:p>
    <w:p>
      <w:pPr>
        <w:spacing w:after="100" w:before="100"/>
      </w:pPr>
      <w:r>
        <w:rPr>
          <w:rFonts w:ascii="Arial" w:cs="Arial" w:eastAsia="Arial" w:hAnsi="Arial"/>
          <w:color w:val="333333"/>
          <w:sz w:val="22"/>
          <w:szCs w:val="22"/>
        </w:rPr>
        <w:t xml:space="preserve">Technijian implements the following measures as described in the Technijian Information Security Program (WISP):</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Control Domain</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Measures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Control</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Role-based access, MFA for all remote/privileged access, quarterly access reviews, same-day offboarding revocation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AES-256 at rest, TLS 1.2+ in transit, BitLocker/FileVault on endpoints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Security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Falcon EDR on all managed endpoints, ManageEngine Endpoint Central Plus for RMM</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Network Security</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Sophos firewalls, network segmentation, VPN/ZTNA for remote access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 &amp; Recovery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Veeam backup platform, encrypted backups, tested quarterly, RPO/RTO per BCP/DR plan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Monitoring &amp; Logging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Centralized logging, alert-based monitoring, Huntress SIEM (planned), 90-day log retention minimum</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Vulnerability Management</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Regular vulnerability assessments, patch management per WISP Section 8</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Physical Security</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data center (SOC 2 Type II certified), badge access, CCTV monitoring</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Personnel Security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Background checks, NDA requirements, annual security training, phishing simulations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Response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Documented IRP, 48-hour notification, defined severity classification, post-incident review</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 Management</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 risk assessments, sub-processor agreements, annual reviews for critical vendors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Disposal</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800-88 compliant methods, certified destruction upon request</w:t>
            </w:r>
          </w:p>
        </w:tc>
      </w:tr>
    </w:tbl>
    <w:p>
      <w:pPr>
        <w:spacing w:after="100"/>
      </w:pPr>
    </w:p>
    <w:p>
      <w:pPr>
        <w:pStyle w:val="Heading1"/>
        <w:pageBreakBefore/>
      </w:pPr>
      <w:r>
        <w:rPr>
          <w:rFonts w:ascii="Arial" w:cs="Arial" w:eastAsia="Arial" w:hAnsi="Arial"/>
          <w:b/>
          <w:bCs/>
          <w:color w:val="0077B6"/>
          <w:sz w:val="32"/>
          <w:szCs w:val="32"/>
        </w:rPr>
        <w:t xml:space="preserve">ANNEX III — APPROVED SUB-PROCESSORS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Sub-processor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Location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Services</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Data Access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TPX Communications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United States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center hosting (SOC 2 Type II)</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Infrastructure-level access to hosted systems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Corporation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United States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365, Azure cloud services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documents, identity, cloud infrastructure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Inc.</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United States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Detection and Response (EDR)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telemetry, security event data</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ManageEngine (Zoho Corp.)</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United States / India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Monitoring and Management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management, configuration data</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Veeam Software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United States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 and disaster recovery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 data (encrypted)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India Operations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India</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Virtual Staff (offshore support) per MSA Section 1.10</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as required by assigned role, governed by WISP and equivalent NDA</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[Additional sub-processors as applicable]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r>
    </w:tbl>
    <w:p>
      <w:pPr>
        <w:spacing w:after="100"/>
      </w:pPr>
    </w:p>
    <w:p>
      <w:pPr>
        <w:pStyle w:val="Heading1"/>
        <w:pageBreakBefore/>
      </w:pPr>
      <w:r>
        <w:rPr>
          <w:rFonts w:ascii="Arial" w:cs="Arial" w:eastAsia="Arial" w:hAnsi="Arial"/>
          <w:b/>
          <w:bCs/>
          <w:color w:val="0077B6"/>
          <w:sz w:val="32"/>
          <w:szCs w:val="32"/>
        </w:rPr>
        <w:t xml:space="preserve">SIGNATURES</w:t>
      </w:r>
    </w:p>
    <w:p>
      <w:pPr>
        <w:spacing w:after="100" w:before="100"/>
      </w:pPr>
      <w:r>
        <w:rPr>
          <w:rFonts w:ascii="Arial" w:cs="Arial" w:eastAsia="Arial" w:hAnsi="Arial"/>
          <w:b/>
          <w:bCs/>
          <w:color w:val="333333"/>
          <w:sz w:val="22"/>
          <w:szCs w:val="22"/>
        </w:rPr>
        <w:t xml:space="preserve">TECHNIJIAN, INC.</w:t>
      </w:r>
    </w:p>
    <w:p>
      <w:pPr>
        <w:spacing w:after="100" w:before="100"/>
      </w:pPr>
      <w:r>
        <w:rPr>
          <w:rFonts w:ascii="Arial" w:cs="Arial" w:eastAsia="Arial" w:hAnsi="Arial"/>
          <w:color w:val="333333"/>
          <w:sz w:val="22"/>
          <w:szCs w:val="22"/>
        </w:rPr>
        <w:t xml:space="preserve">By: ___________________________________</w:t>
      </w:r>
    </w:p>
    <w:p>
      <w:pPr>
        <w:spacing w:after="100" w:before="100"/>
      </w:pPr>
      <w:r>
        <w:rPr>
          <w:rFonts w:ascii="Arial" w:cs="Arial" w:eastAsia="Arial" w:hAnsi="Arial"/>
          <w:color w:val="333333"/>
          <w:sz w:val="22"/>
          <w:szCs w:val="22"/>
        </w:rPr>
        <w:t xml:space="preserve">Name: _________________________________</w:t>
      </w:r>
    </w:p>
    <w:p>
      <w:pPr>
        <w:spacing w:after="100" w:before="100"/>
      </w:pPr>
      <w:r>
        <w:rPr>
          <w:rFonts w:ascii="Arial" w:cs="Arial" w:eastAsia="Arial" w:hAnsi="Arial"/>
          <w:color w:val="333333"/>
          <w:sz w:val="22"/>
          <w:szCs w:val="22"/>
        </w:rPr>
        <w:t xml:space="preserve">Title: _________________________________</w:t>
      </w:r>
    </w:p>
    <w:p>
      <w:pPr>
        <w:spacing w:after="100" w:before="100"/>
      </w:pPr>
      <w:r>
        <w:rPr>
          <w:rFonts w:ascii="Arial" w:cs="Arial" w:eastAsia="Arial" w:hAnsi="Arial"/>
          <w:color w:val="333333"/>
          <w:sz w:val="22"/>
          <w:szCs w:val="22"/>
        </w:rPr>
        <w:t xml:space="preserve">Date: _________________________________</w:t>
      </w:r>
    </w:p>
    <w:p>
      <w:pPr>
        <w:spacing w:after="100" w:before="100"/>
      </w:pPr>
      <w:r>
        <w:rPr>
          <w:rFonts w:ascii="Arial" w:cs="Arial" w:eastAsia="Arial" w:hAnsi="Arial"/>
          <w:b/>
          <w:bCs/>
          <w:color w:val="333333"/>
          <w:sz w:val="22"/>
          <w:szCs w:val="22"/>
        </w:rPr>
        <w:t xml:space="preserve">[CLIENT NAME]</w:t>
      </w:r>
    </w:p>
    <w:p>
      <w:pPr>
        <w:spacing w:after="100" w:before="100"/>
      </w:pPr>
      <w:r>
        <w:rPr>
          <w:rFonts w:ascii="Arial" w:cs="Arial" w:eastAsia="Arial" w:hAnsi="Arial"/>
          <w:color w:val="333333"/>
          <w:sz w:val="22"/>
          <w:szCs w:val="22"/>
        </w:rPr>
        <w:t xml:space="preserve">By: ___________________________________</w:t>
      </w:r>
    </w:p>
    <w:p>
      <w:pPr>
        <w:spacing w:after="100" w:before="100"/>
      </w:pPr>
      <w:r>
        <w:rPr>
          <w:rFonts w:ascii="Arial" w:cs="Arial" w:eastAsia="Arial" w:hAnsi="Arial"/>
          <w:color w:val="333333"/>
          <w:sz w:val="22"/>
          <w:szCs w:val="22"/>
        </w:rPr>
        <w:t xml:space="preserve">Name: _________________________________</w:t>
      </w:r>
    </w:p>
    <w:p>
      <w:pPr>
        <w:spacing w:after="100" w:before="100"/>
      </w:pPr>
      <w:r>
        <w:rPr>
          <w:rFonts w:ascii="Arial" w:cs="Arial" w:eastAsia="Arial" w:hAnsi="Arial"/>
          <w:color w:val="333333"/>
          <w:sz w:val="22"/>
          <w:szCs w:val="22"/>
        </w:rPr>
        <w:t xml:space="preserve">Title: _________________________________</w:t>
      </w:r>
    </w:p>
    <w:p>
      <w:pPr>
        <w:spacing w:after="100" w:before="100"/>
      </w:pPr>
      <w:r>
        <w:rPr>
          <w:rFonts w:ascii="Arial" w:cs="Arial" w:eastAsia="Arial" w:hAnsi="Arial"/>
          <w:color w:val="333333"/>
          <w:sz w:val="22"/>
          <w:szCs w:val="22"/>
        </w:rPr>
        <w:t xml:space="preserve">Date: _________________________________</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Data Processing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1644858f9743ef996d96751599058280f6c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2026-04-06T17:55:47.603Z</dcterms:created>
  <dcterms:modified xsi:type="dcterms:W3CDTF">2026-04-06T17:55:47.604Z</dcterms:modified>
</cp:coreProperties>
</file>

<file path=docProps/custom.xml><?xml version="1.0" encoding="utf-8"?>
<Properties xmlns="http://schemas.openxmlformats.org/officeDocument/2006/custom-properties" xmlns:vt="http://schemas.openxmlformats.org/officeDocument/2006/docPropsVTypes"/>
</file>