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>
      <w:pPr>
        <w:jc w:val="center"/>
      </w:pPr>
      <w:r>
        <w:drawing>
          <wp:inline distT="0" distB="0" distL="0" distR="0">
            <wp:extent cx="3810000" cy="800100"/>
            <wp:effectExtent t="0" r="0" b="0" l="0"/>
            <wp:docPr id="1" name="cover-logo" descr="Technijian Corporation Logo" title="Technijia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Bdr>
          <w:bottom w:val="single" w:color="0077B6" w:sz="8"/>
        </w:pBdr>
      </w:pPr>
    </w:p>
    <w:p>
      <w:pPr>
        <w:pBdr>
          <w:bottom w:val="single" w:color="E8762B" w:sz="4"/>
        </w:pBdr>
      </w:pPr>
    </w:p>
    <w:p/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77B6"/>
          <w:sz w:val="48"/>
          <w:szCs w:val="48"/>
        </w:rPr>
        <w:t xml:space="preserve">Vendor Risk Management Policy</w:t>
      </w:r>
    </w:p>
    <w:p/>
    <w:p>
      <w:pPr>
        <w:pBdr>
          <w:bottom w:val="single" w:color="E8762B" w:sz="4"/>
        </w:pBdr>
      </w:pPr>
    </w:p>
    <w:p>
      <w:pPr>
        <w:pBdr>
          <w:bottom w:val="single" w:color="0077B6" w:sz="8"/>
        </w:pBdr>
      </w:pPr>
    </w:p>
    <w:p/>
    <w:p/>
    <w:p>
      <w:pPr>
        <w:jc w:val="center"/>
      </w:pPr>
      <w:r>
        <w:rPr>
          <w:rFonts w:ascii="Arial" w:cs="Arial" w:eastAsia="Arial" w:hAnsi="Arial"/>
          <w:color w:val="6D6E71"/>
          <w:sz w:val="24"/>
          <w:szCs w:val="24"/>
        </w:rPr>
        <w:t xml:space="preserve">Version 1.0</w:t>
      </w:r>
    </w:p>
    <w:p>
      <w:pPr>
        <w:jc w:val="center"/>
      </w:pPr>
      <w:r>
        <w:rPr>
          <w:rFonts w:ascii="Arial" w:cs="Arial" w:eastAsia="Arial" w:hAnsi="Arial"/>
          <w:color w:val="6D6E71"/>
          <w:sz w:val="24"/>
          <w:szCs w:val="24"/>
        </w:rPr>
        <w:t xml:space="preserve">April 6, 2026</w:t>
      </w:r>
    </w:p>
    <w:p/>
    <w:p>
      <w:pPr>
        <w:jc w:val="center"/>
      </w:pPr>
      <w:r>
        <w:rPr>
          <w:rFonts w:ascii="Arial" w:cs="Arial" w:eastAsia="Arial" w:hAnsi="Arial"/>
          <w:b/>
          <w:bCs/>
          <w:color w:val="E8762B"/>
          <w:sz w:val="24"/>
          <w:szCs w:val="24"/>
        </w:rPr>
        <w:t xml:space="preserve">Classification: Confidential</w:t>
      </w:r>
    </w:p>
    <w:p/>
    <w:p/>
    <w:p/>
    <w:p>
      <w:pPr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Technijian Corporation</w:t>
      </w:r>
    </w:p>
    <w:p>
      <w:pPr>
        <w:jc w:val="center"/>
      </w:pPr>
      <w:r>
        <w:rPr>
          <w:rFonts w:ascii="Arial" w:cs="Arial" w:eastAsia="Arial" w:hAnsi="Arial"/>
          <w:color w:val="6D6E71"/>
          <w:sz w:val="20"/>
          <w:szCs w:val="20"/>
        </w:rPr>
        <w:t xml:space="preserve">18 Technology Drive, Suite 141, Irvine, CA 92618</w:t>
      </w:r>
    </w:p>
    <w:p>
      <w:pPr>
        <w:jc w:val="center"/>
      </w:pPr>
      <w:r>
        <w:rPr>
          <w:rFonts w:ascii="Arial" w:cs="Arial" w:eastAsia="Arial" w:hAnsi="Arial"/>
          <w:color w:val="6D6E71"/>
          <w:sz w:val="20"/>
          <w:szCs w:val="20"/>
        </w:rPr>
        <w:t xml:space="preserve">949-379-8499  |  www.technijian.com</w:t>
      </w:r>
    </w:p>
    <w:p/>
    <w:p>
      <w:pPr>
        <w:spacing w:before="200"/>
        <w:jc w:val="center"/>
      </w:pPr>
      <w:r>
        <w:rPr>
          <w:rFonts w:ascii="Arial" w:cs="Arial" w:eastAsia="Arial" w:hAnsi="Arial"/>
          <w:color w:val="6D6E71"/>
          <w:sz w:val="20"/>
          <w:szCs w:val="20"/>
        </w:rPr>
        <w:t xml:space="preserve">Document Owner: Ravi Jain - CEO/Owner</w:t>
      </w:r>
    </w:p>
    <w:p>
      <w:pPr>
        <w:jc w:val="center"/>
      </w:pPr>
      <w:r>
        <w:rPr>
          <w:rFonts w:ascii="Arial" w:cs="Arial" w:eastAsia="Arial" w:hAnsi="Arial"/>
          <w:color w:val="6D6E71"/>
          <w:sz w:val="20"/>
          <w:szCs w:val="20"/>
        </w:rPr>
        <w:t xml:space="preserve">Approved By: Ravi Jain - CEO/Owner</w:t>
      </w:r>
    </w:p>
    <w:p>
      <w:pPr>
        <w:jc w:val="center"/>
      </w:pPr>
      <w:r>
        <w:rPr>
          <w:rFonts w:ascii="Arial" w:cs="Arial" w:eastAsia="Arial" w:hAnsi="Arial"/>
          <w:color w:val="6D6E71"/>
          <w:sz w:val="20"/>
          <w:szCs w:val="20"/>
        </w:rPr>
        <w:t xml:space="preserve">Next Review Date: March 6, 2027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77B6"/>
          <w:sz w:val="32"/>
          <w:szCs w:val="32"/>
        </w:rPr>
        <w:t xml:space="preserve">1. Purpose and Scope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1.1 Purpose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Vendor Risk Management Policy establishes the framework for identifying, assessing, monitoring, and mitigating risks associated with third-party vendors, service providers, and sub-processors that support Technijian, Inc.'s operations and managed service delivery. As a managed IT services provider, Technijian relies on a range of technology vendors whose security posture directly impacts the confidentiality, integrity, and availability of Technijian and client data.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policy ensures that vendor relationships are managed with appropriate due diligence, contractual protections, and ongoing oversight commensurate with the risk each vendor presents.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1.2 Scope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policy applies to: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third-party vendors, service providers, suppliers, and sub-processors that provide products or services to Technijian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vendor relationships that involve access to, processing of, or storage of Technijian or client data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vendor relationships that support critical infrastructure, systems, or service delivery capabilities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Technijian personnel responsible for selecting, onboarding, managing, or overseeing vendor relationships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vendor relationships regardless of contract value, including free-tier and trial services where Technijian or client data is involved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1.3 Exclusions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are excluded from the full vendor risk management process but are tracked in the vendor inventory: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One-time purchases of hardware or physical supplies where no data access or ongoing service relationship exists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Utility providers (electricity, water) that do not have access to Technijian systems or data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77B6"/>
          <w:sz w:val="32"/>
          <w:szCs w:val="32"/>
        </w:rPr>
        <w:t xml:space="preserve">2. Definitions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Vendor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Any third-party organization that provides products, services, or technology to Technijian in support of its operations or managed service delivery.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Sub-processor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 vendor engaged by Technijian that processes personal data or regulated data on behalf of Technijian's clients. Sub-processors are subject to the same data protection requirements as Technijian.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Tier 1 Vendor (Critical)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Vendors that provide services essential to Technijian's core service delivery, have access to Restricted or Confidential data, or whose failure would cause significant operational disruption. Examples: data center provider, EDR platform, RMM platform, backup infrastructure.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Tier 2 Vendor (Significant)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Vendors that support important business functions, may have access to Internal data, or whose failure would cause moderate operational impact. Examples: collaboration platforms, professional services tools, non-critical SaaS applications.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Tier 3 Vendor (Low Risk)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Vendors that provide commoditized services, have no access to Sensitive Data, and whose failure would cause minimal operational impact. Examples: office supply vendors, non-data-handling utility services.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Business Associate Agreement, required under HIPAA before a vendor processes or stores PHI on behalf of Technijian or its clients.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DPA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Data Processing Agreement, required under GDPR and other privacy regulations before a vendor processes personal data on behalf of Technijian or its clients.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SOC 2 Report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Service Organization Control 2 report, an independent audit of a service provider's controls related to security, availability, processing integrity, confidentiality, and privacy.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Vendor Risk Assessment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 structured evaluation of a vendor's security posture, compliance status, financial stability, and operational capabilities.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SLA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Service Level Agreement defining the vendor's performance commitments, uptime guarantees, and remedies for service failures.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77B6"/>
          <w:sz w:val="32"/>
          <w:szCs w:val="32"/>
        </w:rPr>
        <w:t xml:space="preserve">3. Vendor Classification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3.1 Classification Criteria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vendors are classified into one of three tiers based on the following criteria: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 1 (Critical)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 2 (Significant)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 3 (Low Risk)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Data Access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Access to Restricted or Confidential data (PHI, PCI, NPI, PII, credentials)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Access to Internal data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access to Technijian or client 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Service Criticality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Essential to core service delivery; failure causes significant client impact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Supports important functions; failure causes moderate impact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Commoditized; failure causes minimal impact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 Impact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Direct impact on client environments or client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Indirect impact on service quality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client impact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Regulatory Scope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Subject to HIPAA, PCI-DSS, SOC 2, GDPR, or financial regulations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Subject to general security requirements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Minimal regulatory relevance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Replaceability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Difficult to replace; long transition period (30+ days)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Moderately replaceable (7-30 days)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Easily replaceable (&lt; 7 days)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3.2 Classification Process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Vendor classification is performed during onboarding and reviewed at each assessment cycle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Security Officer assigns the initial classification based on the criteria above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Classification may be escalated (e.g., Tier 3 to Tier 2) if the vendor's scope of access or criticality changes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classification decisions are documented in the vendor inventory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3.3 Classification Review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Vendor classifications are reviewed: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Annually as part of the vendor risk assessment cycle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vendor scope of services changes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new data types are shared with the vendor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a vendor security incident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77B6"/>
          <w:sz w:val="32"/>
          <w:szCs w:val="32"/>
        </w:rPr>
        <w:t xml:space="preserve">4. Vendor Onboarding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4.1 Onboarding Process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new vendors must complete the following onboarding process before being granted access to Technijian systems or data: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 Business Justification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2. Vendor Security Questionnaire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Full questionnaire (SIG Lite or equivalent)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Abbreviated questionnaire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 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3. SOC 2 Type II Report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Required (current, within 12 months)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Requested; ISO 27001 or equivalent accepted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 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4. Penetration Test Results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Requested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 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 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5. Insurance Verification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Required (Cyber, E&amp;O, General Liability)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Required (General Liability minimum)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 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6. BAA Execution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Required if PHI is involved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Required if PHI is involved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7. DPA Execution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Required if personal data is processed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Required if personal data is processed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8. NDA Execution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As needed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9. SLA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Required with defined uptime, RTO, RPO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Required with defined uptime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 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10. Security Officer Approval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IT Operations approval sufficient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4.2 Vendor Security Questionnaire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vendor security questionnaire covers the following domains: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Information security program and governance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Access control and authentication practices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encryption (at rest and in transit)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Vulnerability management and patching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Incident response and breach notification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Business continuity and disaster recovery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Employee screening and security training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Sub-processor management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retention and destruction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Regulatory compliance (HIPAA, PCI-DSS, SOC 2, GDPR as applicable)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Physical security (for data center and hosting providers)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4.3 SOC 2 Report Review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Tier 1 vendors providing a SOC 2 Type II report: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Security Officer reviews the report for the scope of services used by Technijian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Management assertions, control objectives, and test results are evaluated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Any qualified opinions, exceptions, or noted deviations are assessed for impact on Technijian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Complementary User Entity Controls (CUECs) are identified and verified as implemented by Technijian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SOC 2 bridge letter is requested if the report period does not cover the current date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4.4 Insurance Requirements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Coverage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 1 Minimum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 2 Minimum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Cyber Liability / Tech E&amp;O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$5,000,000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N/A (recommended)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Commercial General Liability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$1,000,000 per occurrence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$1,000,000 per occurrence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Professional Liability (E&amp;O)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$2,000,000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N/A (recommended)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Workers' Compensation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Statutory limits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Statutory limits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4.5 Contractual Requirements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vendor contracts for Tier 1 and Tier 2 vendors must include: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Defined scope of services and data handling responsibilities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protection and confidentiality obligations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Security requirements and standards the vendor must maintain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Right to audit clause (or equivalent SOC 2 / third-party audit provision)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Breach notification requirements (notification within 24 hours for Tier 1, 72 hours for Tier 2)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return and destruction obligations upon contract termination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Indemnification for security breaches caused by vendor negligence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Compliance with applicable regulations (HIPAA, PCI-DSS, GDPR as relevant)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Sub-processor disclosure and approval requirements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Termination provisions, including for-cause termination for material security failures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77B6"/>
          <w:sz w:val="32"/>
          <w:szCs w:val="32"/>
        </w:rPr>
        <w:t xml:space="preserve">5. Ongoing Monitoring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5.1 Monitoring Frequency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 1 (Critical)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 2 (Significant)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 3 (Low Risk)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Full Risk Assessment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Annually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Biennially (every 2 years)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 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SOC 2 Report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Annually (upon report issuance)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Biennially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 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Security Questionnaire Update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Annually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Biennially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 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Insurance Certificate Renewal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Annually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Annually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 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SLA Performance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Quarterly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Semi-annually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 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Security News Monitoring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Continuous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Continuous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 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Sub-processor Change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Upon notification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Upon notification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N/A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5.2 Continuous Monitoring Activities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all Tier 1 and Tier 2 vendors, the following continuous monitoring activities are performed: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Security Advisory Monitoring: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Track vendor security advisories, CVE disclosures, and patch releases. Critical vulnerabilities in vendor products trigger immediate risk assessment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Breach and Incident Monitoring: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Monitor news sources, threat intelligence feeds, and vendor communications for reports of vendor breaches or security incidents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Service Availability Monitoring: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Track vendor uptime and service availability against SLA commitments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Regulatory Action Monitoring: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Monitor for regulatory enforcement actions, lawsuits, or compliance failures involving the vendor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Financial Health Monitoring: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Annual review of vendor financial stability indicators for Tier 1 vendors to assess continuity risk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5.3 Monitoring Responsibilities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Overall vendor risk program management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Security Officer (Ravi Jain)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Vendor security questionnaire review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Security Officer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SOC 2 report review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Security Officer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SLA performance tracking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IT Operations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Contract and insurance management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CEO/Owner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Day-to-day vendor relationship management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Designated account owner per vendor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77B6"/>
          <w:sz w:val="32"/>
          <w:szCs w:val="32"/>
        </w:rPr>
        <w:t xml:space="preserve">6. Vendor Risk Assessment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6.1 Assessment Methodology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Vendor risk assessments evaluate the following risk domains: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Domain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Assessment Areas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Security Risk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Information security program maturity, access controls, encryption, vulnerability management, incident response, endpoint security, network security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Compliance Risk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Regulatory compliance status (HIPAA, PCI-DSS, SOC 2, GDPR), audit findings, certifications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Operational Risk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Service reliability, uptime history, disaster recovery capabilities, staffing and support quality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Financial Risk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Financial stability, market position, risk of vendor insolvency or acquisition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Reputational Risk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Public breach history, regulatory enforcement actions, customer complaints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Concentration Risk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Degree of Technijian's dependency on the vendor, availability of alternatives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6.2 Risk Scoring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risk domain is scored on the following scale: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Controls are mature and well-documented. Minimal risk identified.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Moderate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Controls are adequate but may have minor gaps. Acceptable risk with monitoring.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Significant control gaps identified. Risk requires treatment plan.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Major control failures or unacceptable risk. Requires immediate remediation or vendor replacement.</w:t>
            </w:r>
          </w:p>
        </w:tc>
      </w:tr>
    </w:tbl>
    <w:p>
      <w:pPr>
        <w:spacing w:after="100"/>
      </w:pP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overall vendor risk rating is the highest individual domain score, weighted toward Security and Compliance risk domains.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6.3 Risk Treatment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Overall Rating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 Action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Low (1)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Continue standard monitoring per tier schedule.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Moderate (2)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Document findings. Request vendor remediation plan within 90 days. Increase monitoring frequency if warranted.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 (3)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Escalate to CEO/Owner. Require vendor remediation plan within 30 days. Implement compensating controls. Evaluate alternative vendors.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Critical (4)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Immediate escalation to CEO/Owner. Initiate vendor transition planning. Implement compensating controls immediately. Consider contract termination.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6.4 Assessment Documentation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vendor risk assessments are documented and retained for a minimum of 3 years. Documentation includes: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Assessment date and assessor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Vendor classification tier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Questionnaire responses and supporting evidence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SOC 2 or audit report findings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Risk domain scores and rationale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Overall risk rating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Treatment plan and remediation timeline (if applicable)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Approval by the Security Officer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77B6"/>
          <w:sz w:val="32"/>
          <w:szCs w:val="32"/>
        </w:rPr>
        <w:t xml:space="preserve">7. Sub-processor Management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7.1 Sub-processor Requirements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Technijian engages vendors that act as sub-processors (processing personal data or regulated data on behalf of Technijian's clients):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Disclosure: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Technijian maintains a list of all sub-processors and the categories of data they process. This list is made available to clients upon request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Client Notification: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Clients are notified of new sub-processors or changes to existing sub-processors before the sub-processor begins processing. Notification includes the sub-processor identity, location, and scope of processing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Objection Right: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Where required by contract or regulation (e.g., GDPR Art 28), clients are given a reasonable period (typically 30 days) to object to new sub-processors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Due Diligence: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All sub-processors are subject to the same vendor risk assessment and onboarding requirements as Tier 1 or Tier 2 vendors, depending on the data involved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Contractual Flow-down: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Sub-processor agreements must include data protection obligations equivalent to those in Technijian's agreements with its clients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7.2 Sub-processor Monitoring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Sub-processors are monitored per the Tier 1 monitoring schedule (Section 5.1)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Changes in sub-processor security posture or compliance status trigger immediate reassessment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Sub-processor breaches trigger Technijian's vendor incident response process (Section 9)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77B6"/>
          <w:sz w:val="32"/>
          <w:szCs w:val="32"/>
        </w:rPr>
        <w:t xml:space="preserve">8. Vendor Inventory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8.1 Inventory Requirements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Technijian maintains a centralized vendor inventory that includes the following attributes for each vendor: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Vendor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Legal entity name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Vendor Contact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Primary contact and escalation contact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Services Provided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Description of products/services provided to Technijian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Tier Classification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Tier 1, Tier 2, or Tier 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Data Access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Types of data the vendor can access or process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Sub-processor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Whether the vendor acts as a sub-processor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Contract Expiration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Contract end date or renewal date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BAA/DPA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Whether BAA and/or DPA is in place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SOC 2 / Certification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Current audit report status and expiration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Insurance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Current insurance certificate status and expiration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Last Risk Assessment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Date of most recent risk assessment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Risk Rating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Current overall risk rating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Vendor Owner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Technijian personnel responsible for the relationship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8.2 Current Vendor Inventory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table represents Technijian's current critical and significant vendor relationships: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Vendor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Access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BAA/DPA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SOC 2 / Cert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Sub-processor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TPX Communications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Tier 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Data center hosting, colocation, network infrastructure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Restricted (physical access to infrastructure housing client data)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BAA in place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SOC 2 Type II (reviewed annually)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Microsoft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Tier 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Microsoft 365, Azure, Entra ID, Defender, Intune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Restricted (email, identity, cloud workloads, client data in Azure/M365 tenants)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BAA in place, DPA in place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SOC 2 Type II, ISO 27001, FedRAMP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CrowdStrike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Tier 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Falcon EDR/XDR, endpoint protection, threat intelligence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Restricted (endpoint telemetry, process data, threat detections across all managed endpoints)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DPA in place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SOC 2 Type II, ISO 27001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ManageEngine (Zoho Corp)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Tier 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Endpoint Central Plus (RMM), patch management, software deployment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Restricted (remote access to all managed endpoints, inventory data, configuration data)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DPA in place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SOC 2 Type II, ISO 27001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Veeam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Tier 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Backup and disaster recovery, data replication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Restricted (backup data containing client production data, credentials for backup targets)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DPA in place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SOC 2 Type II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Huntress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Tier 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Managed detection and response, persistent foothold detection, SIEM (planned)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Restricted (endpoint forensic data, threat detections, security event logs)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DPA in place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SOC 2 Type II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8.3 Inventory Maintenance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vendor inventory is updated upon onboarding of new vendors, termination of existing vendors, and whenever vendor attributes change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full inventory review is conducted semi-annually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Security Officer is responsible for maintaining the accuracy of the inventory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77B6"/>
          <w:sz w:val="32"/>
          <w:szCs w:val="32"/>
        </w:rPr>
        <w:t xml:space="preserve">9. Incident Response for Vendor Breaches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9.1 Vendor Breach Notification Requirements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Tier 1 and Tier 2 vendor contracts require the vendor to notify Technijian of security incidents and data breaches: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Vendor 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Notification Deadline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Notification Method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Tier 1 (Critical)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Within 24 hours of discovery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Phone call to Security Officer + written notification via email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Tier 2 (Significant)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Within 72 hours of discovery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Written notification via email to Security Officer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9.2 Technijian Response Process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Upon receiving notification of a vendor breach or discovering a vendor security incident: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Phase 1: Initial Response (0-4 hours)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Security Officer assesses the scope and severity of the vendor incident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Determine whether Technijian or client data was involved or potentially exposed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Activate the Technijian Incident Response Plan if client data is confirmed or suspected to be affected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Isolate or restrict vendor access to Technijian and client systems if warranted by the incident scope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Notify CEO/Owner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Phase 2: Investigation and Containment (4-48 hours)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Obtain detailed incident information from the vendor, including timeline, root cause, affected systems, and data involved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Conduct internal investigation to determine the impact on Technijian and client data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compensating controls (e.g., additional monitoring, access restrictions, credential rotation) as needed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Assess whether client notification obligations are triggered under applicable regulations (HIPAA, GDPR, state breach notification laws, contractual requirements)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Phase 3: Client Notification (as required)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client data is affected, notify affected clients within the timeframes required by contract and applicable regulation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Provide clients with relevant details: nature of the incident, data involved, remediation steps, and Technijian's response actions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Coordinate with clients on any joint response activities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Phase 4: Post-Incident (ongoing)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Obtain the vendor's root cause analysis and remediation plan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that the vendor has implemented corrective actions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Reassess the vendor's risk rating based on the incident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Determine whether to continue, modify, or terminate the vendor relationship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 the incident, response actions, and lessons learned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vendor risk assessment and monitoring schedule as warranted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9.3 Vendor Breach Tracking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vendor security incidents are tracked in the vendor risk register with the following information: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Incident date and discovery date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Vendor name and tier classification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Incident description and scope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types affected (if any)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Technijian response actions taken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 notifications issued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Vendor remediation status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Impact on vendor risk rating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Lessons learned and policy updates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77B6"/>
          <w:sz w:val="32"/>
          <w:szCs w:val="32"/>
        </w:rPr>
        <w:t xml:space="preserve">10. Termination and Transition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10.1 Planned Termination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 vendor relationship is terminated (either at contract end or by decision):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Notify vendor of termination per contract terms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Per contract notice period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Initiate data return process: obtain all Technijian and client data held by the vendor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Begin immediately upon notice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Verify completeness of returned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Within 15 business days of data receipt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Obtain certification of data destruction from the vendor (all copies, backups, and derived data)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Within 30 days of contract 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Revoke all vendor access to Technijian and client systems (accounts, API keys, VPN, certificates)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 or before contract end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Transition services to replacement vendor or bring in-house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Per transition plan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Update vendor inventory and notify affected clients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Within 5 business days of transition completion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Archive vendor documentation (contracts, assessments, correspondence) per retention policy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Upon completion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10.2 Emergency Termination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the event that immediate termination is required (e.g., critical security failure, material breach, unacceptable risk):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Security Officer recommends emergency termination to CEO/Owner with documented justification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CEO/Owner approves emergency termination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vendor access is revoked immediately (accounts disabled, API keys rotated, VPN tunnels removed, firewall rules updated)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return and destruction processes are initiated on an expedited basis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Transition to alternative vendor or interim manual processes is executed per the contingency plan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Affected clients are notified within 24 hours of any service impact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10.3 Transition Planning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Tier 1 vendors, Technijian maintains documented transition plans that include: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Identification of alternative vendors or in-house capabilities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Estimated transition timeline and resource requirements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migration procedures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 continuity measures during transition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 communication plan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Testing and validation procedures for the replacement solution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77B6"/>
          <w:sz w:val="32"/>
          <w:szCs w:val="32"/>
        </w:rPr>
        <w:t xml:space="preserve">11. Compliance Mapping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policy supports Technijian's compliance obligations across the following frameworks and regulations: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Framework / Regulation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Policy Section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SOC 2 Trust Services Criteria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CC9.2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 - Risk from vendor and business partner relationships is assessed, managed, and monitored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Sections 3, 4, 5, 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HIPAA Security Rule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164.308(b)(1)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 - Business Associate Contracts: Written contract or arrangement with business associates that create, receive, maintain, or transmit PHI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Sections 4.1, 4.5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HIPAA Security Rule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164.308(b)(4)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 - Written contract or other arrangement: Document the satisfactory assurances required by 164.308(b)(1)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Section 4.5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HIPAA Security Rule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164.314(a)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 - Business Associate Contracts or Other Arrangements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Section 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PCI-DSS v4.0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Req 12.8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 - Risk to information assets associated with third-party service provider relationships is managed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Sections 3, 4, 5, 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PCI-DSS v4.0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Req 12.8.1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 - List of third-party service providers is maintained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Section 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PCI-DSS v4.0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Req 12.8.2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 - Written agreements with service providers include acknowledgment of responsibility for cardholder data security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Section 4.5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PCI-DSS v4.0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Req 12.8.4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 - Program to monitor service providers' PCI-DSS compliance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Section 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PCI-DSS v4.0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Req 12.8.5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 - Information about which PCI-DSS requirements are managed by each provider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Section 8.2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GDPR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Art 28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 - Processor: Binding contract with processors setting out subject-matter, duration, nature and purpose of processing, obligations and rights of the controller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Sections 4.5, 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GDPR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Art 28(2)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 - Sub-processor engagement requires prior authorization of the controller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Section 7.1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GDPR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Art 28(3)(h)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 - Processor makes available all information necessary to demonstrate compliance and allow for audits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Section 4.5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GDPR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Art 28(4)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 - Sub-processor must be bound by the same data protection obligations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Section 7.1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NIST CSF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ID.SC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 - Supply Chain Risk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Sections 3, 4, 5, 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NIST CSF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ID.SC-1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 - Supply chain risk management processes are identified, established, assessed, managed, and agreed 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Section 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NIST CSF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ID.SC-2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 - Suppliers and third-party partners are identified, prioritized, and assessed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Sections 3, 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NIST CSF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ID.SC-4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 - Suppliers and third-party partners are routinely assessed using audits, test results, or other forms of evaluation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Section 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SEC Regulation S-P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Rule 30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 - Safeguards Rule: Oversight of service providers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Sections 4, 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FTC Safeguards Rule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314.4(f)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 - Oversee service providers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Sections 4, 5, 6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77B6"/>
          <w:sz w:val="32"/>
          <w:szCs w:val="32"/>
        </w:rPr>
        <w:t xml:space="preserve">12. Policy Review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12.1 Review Frequency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policy is reviewed and updated on an annual basis. The next scheduled review is April 6, 2027.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Out-of-cycle reviews are triggered by: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Significant vendor security incidents affecting Technijian or its clients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Changes in applicable laws, regulations, or contractual requirements (e.g., new privacy laws, updated PCI-DSS requirements)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Major changes to Technijian's vendor ecosystem (onboarding of new Tier 1 vendors, termination of critical vendors)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Audit findings or risk assessment results identifying gaps in vendor risk management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Industry developments or emerging best practices in third-party risk management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12.2 Review Responsibility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Security Officer (Ravi Jain) is responsible for conducting the annual review. Updated policies are approved by the CEO/Owner before distribution.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12.3 Communication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Policy updates are communicated to all Technijian personnel involved in vendor management. Updated versions are published to the controlled document repository.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77B6"/>
          <w:sz w:val="32"/>
          <w:szCs w:val="32"/>
        </w:rPr>
        <w:t xml:space="preserve">Appendix A: Version History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April 6,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Ravi Jain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Initial release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77B6"/>
          <w:sz w:val="32"/>
          <w:szCs w:val="32"/>
        </w:rPr>
        <w:t xml:space="preserve">Appendix B: Related Documents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Reference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Information Security Program (WISP)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Technijian WISP v1.0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Acceptable Use Policy (AUP)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Technijian AUP v1.0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Incident Response Plan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Technijian IRP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Business Continuity / Disaster Recovery Plan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Technijian BCP/DR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Data Classification and Handling Guide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WISP Section 5.1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Vendor Security Questionnaire Template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VRM-FORM-001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Vendor Risk Assessment Template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VRM-FORM-002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77B6"/>
          <w:sz w:val="32"/>
          <w:szCs w:val="32"/>
        </w:rPr>
        <w:t xml:space="preserve">Appendix C: Vendor Security Questionnaire Domains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domains are covered in the Technijian Vendor Security Questionnaire (full version for Tier 1, abbreviated for Tier 2):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Topics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Governance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Security program, policies, designated security officer, board/management oversight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Access Control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Authentication, MFA, RBAC, privileged access management, access reviews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Data Protection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Encryption at rest/in transit, data classification, DLP, key management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Network Security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Firewalls, segmentation, IDS/IPS, monitoring, wireless security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Endpoint Security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EDR, patching, hardening, mobile device management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Vulnerability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Scanning frequency, remediation SLAs, penetration testing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Incident Response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IR plan, breach notification timelines, forensic capabilities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Business Continuity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DR plan, RTO/RPO, backup and recovery testing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Human Resources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Background checks, security training, termination procedures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Physical Security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Data center controls, access logging, environmental controls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Compliance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SOC 2, ISO 27001, HIPAA, PCI-DSS, GDPR certifications and audit history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Sub-processors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Sub-processor list, due diligence process, contractual controls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Data Retention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Retention periods, destruction methods, certificates of destruction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Privacy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Privacy program, data subject rights, cross-border transfers</w:t>
            </w:r>
          </w:p>
        </w:tc>
      </w:tr>
    </w:tbl>
    <w:p>
      <w:pPr>
        <w:spacing w:after="100"/>
      </w:pP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*Technijian, Inc. | 18 Technology Drive, Suite 141, Irvine, CA 92618*</w:t>
      </w:r>
    </w:p>
    <w:sectPr>
      <w:headerReference w:type="default" r:id="rId7"/>
      <w:footerReference w:type="default" r:id="rId8"/>
      <w:pgSz w:w="12240" w:h="15840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77B6" w:sz="1"/>
      </w:pBdr>
      <w:tabs>
        <w:tab w:val="right" w:pos="9360"/>
      </w:tabs>
      <w:spacing w:before="100"/>
    </w:pPr>
    <w:r>
      <w:rPr>
        <w:rFonts w:ascii="Arial" w:cs="Arial" w:eastAsia="Arial" w:hAnsi="Arial"/>
        <w:i/>
        <w:iCs/>
        <w:color w:val="E8762B"/>
        <w:sz w:val="16"/>
        <w:szCs w:val="16"/>
      </w:rPr>
      <w:t xml:space="preserve">Confidential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D6E71"/>
        <w:sz w:val="16"/>
        <w:szCs w:val="16"/>
      </w:rPr>
      <w:t xml:space="preserve">Page </w:t>
    </w:r>
    <w:r>
      <w:rPr>
        <w:rFonts w:ascii="Arial" w:cs="Arial" w:eastAsia="Arial" w:hAnsi="Arial"/>
        <w:color w:val="6D6E7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7B6" w:sz="1"/>
      </w:pBdr>
      <w:tabs>
        <w:tab w:val="right" w:pos="9360"/>
      </w:tabs>
      <w:spacing w:after="100"/>
    </w:pPr>
    <w:r>
      <w:drawing>
        <wp:inline distT="0" distB="0" distL="0" distR="0">
          <wp:extent cx="1238250" cy="304800"/>
          <wp:effectExtent t="0" r="0" b="0" l="0"/>
          <wp:docPr id="1" name="hdr-logo" descr="Technijian Logo" title="Techniji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304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i/>
        <w:iCs/>
        <w:color w:val="6D6E71"/>
        <w:sz w:val="16"/>
        <w:szCs w:val="16"/>
      </w:rPr>
      <w:t xml:space="preserve">Vendor Risk Management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0077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300"/>
      <w:outlineLvl w:val="1"/>
    </w:pPr>
    <w:rPr>
      <w:rFonts w:ascii="Arial" w:cs="Arial" w:eastAsia="Arial" w:hAnsi="Arial"/>
      <w:b/>
      <w:bCs/>
      <w:color w:val="0077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11644858f9743ef996d96751599058280f6c15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da411e2cba4fb0a0de5b42d0cbf546939e758dd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2026-04-06T17:55:48.624Z</dcterms:created>
  <dcterms:modified xsi:type="dcterms:W3CDTF">2026-04-06T17:55:48.627Z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