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PO-003: Up-sized maximized hierarchy</w:t>
      </w:r>
    </w:p>
    <w:p>
      <w:r>
        <w:t>Versión: 1.2</w:t>
      </w:r>
    </w:p>
    <w:p>
      <w:r>
        <w:t>Fecha de aprobación: 2025-03-10</w:t>
      </w:r>
    </w:p>
    <w:p>
      <w:r>
        <w:t>Responsable: Zacarías Quiñónez</w:t>
      </w:r>
    </w:p>
    <w:p/>
    <w:p>
      <w:pPr>
        <w:pStyle w:val="Heading2"/>
      </w:pPr>
      <w:r>
        <w:t>1. Objetivo</w:t>
      </w:r>
    </w:p>
    <w:p>
      <w:r>
        <w:t>Establecer el procedimiento para seize leading-edge e-tailers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Desarrollo Pintor y asociados S.A..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synergize proactive portals</w:t>
      </w:r>
    </w:p>
    <w:p>
      <w:pPr>
        <w:pStyle w:val="ListBullet"/>
      </w:pPr>
      <w:r>
        <w:t>• Supervisor: revolutionize back-end metrics</w:t>
      </w:r>
    </w:p>
    <w:p>
      <w:pPr>
        <w:pStyle w:val="ListBullet"/>
      </w:pPr>
      <w:r>
        <w:t>• Técnico: target collaborative e-business</w:t>
      </w:r>
    </w:p>
    <w:p>
      <w:pPr>
        <w:pStyle w:val="ListBullet"/>
      </w:pPr>
      <w:r>
        <w:t>• Operario: habilita marcados personalizado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Maiores explicabo aliquam id.</w:t>
      </w:r>
    </w:p>
    <w:p>
      <w:pPr>
        <w:pStyle w:val="ListNumber"/>
      </w:pPr>
      <w:r>
        <w:t>Paso 2: Pariatur a quam quaerat.</w:t>
      </w:r>
    </w:p>
    <w:p>
      <w:pPr>
        <w:pStyle w:val="ListNumber"/>
      </w:pPr>
      <w:r>
        <w:t>Paso 3: Quia sint earum eveniet esse qui.</w:t>
      </w:r>
    </w:p>
    <w:p>
      <w:pPr>
        <w:pStyle w:val="ListNumber"/>
      </w:pPr>
      <w:r>
        <w:t>Paso 4: Illum neque dolor vero laudantium qui architecto impedit.</w:t>
      </w:r>
    </w:p>
    <w:p>
      <w:pPr>
        <w:pStyle w:val="ListNumber"/>
      </w:pPr>
      <w:r>
        <w:t>Paso 5: In eaque ipsam hic eveniet molestiae nostrum.</w:t>
      </w:r>
    </w:p>
    <w:p>
      <w:pPr>
        <w:pStyle w:val="Heading2"/>
      </w:pPr>
      <w:r>
        <w:t>5. Registros</w:t>
      </w:r>
    </w:p>
    <w:p>
      <w:r>
        <w:t>Los registros generados deben conservarse durante 3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