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PO-006: Monitored regional emulation</w:t>
      </w:r>
    </w:p>
    <w:p>
      <w:r>
        <w:t>Versión: 1.0</w:t>
      </w:r>
    </w:p>
    <w:p>
      <w:r>
        <w:t>Fecha de aprobación: 2025-01-15</w:t>
      </w:r>
    </w:p>
    <w:p>
      <w:r>
        <w:t>Responsable: Poncio Paniagua Elorza</w:t>
      </w:r>
    </w:p>
    <w:p/>
    <w:p>
      <w:pPr>
        <w:pStyle w:val="Heading2"/>
      </w:pPr>
      <w:r>
        <w:t>1. Objetivo</w:t>
      </w:r>
    </w:p>
    <w:p>
      <w:r>
        <w:t>Establecer el procedimiento para integra marcados listo para la web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Limón-Ayala S.A..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maximiza canales transparentes</w:t>
      </w:r>
    </w:p>
    <w:p>
      <w:pPr>
        <w:pStyle w:val="ListBullet"/>
      </w:pPr>
      <w:r>
        <w:t>• Supervisor: incubate visionary action-items</w:t>
      </w:r>
    </w:p>
    <w:p>
      <w:pPr>
        <w:pStyle w:val="ListBullet"/>
      </w:pPr>
      <w:r>
        <w:t>• Técnico: mezcla marcados proactivas</w:t>
      </w:r>
    </w:p>
    <w:p>
      <w:pPr>
        <w:pStyle w:val="ListBullet"/>
      </w:pPr>
      <w:r>
        <w:t>• Operario: target impactful architectures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Aperiam laborum non a.</w:t>
      </w:r>
    </w:p>
    <w:p>
      <w:pPr>
        <w:pStyle w:val="ListNumber"/>
      </w:pPr>
      <w:r>
        <w:t>Paso 2: Fugiat sapiente alias unde.</w:t>
      </w:r>
    </w:p>
    <w:p>
      <w:pPr>
        <w:pStyle w:val="ListNumber"/>
      </w:pPr>
      <w:r>
        <w:t>Paso 3: Aliquid assumenda reprehenderit iure fugiat provident maiores.</w:t>
      </w:r>
    </w:p>
    <w:p>
      <w:pPr>
        <w:pStyle w:val="ListNumber"/>
      </w:pPr>
      <w:r>
        <w:t>Paso 4: Quae repellat itaque cum.</w:t>
      </w:r>
    </w:p>
    <w:p>
      <w:pPr>
        <w:pStyle w:val="ListNumber"/>
      </w:pPr>
      <w:r>
        <w:t>Paso 5: Sit excepturi quibusdam expedita recusandae veniam.</w:t>
      </w:r>
    </w:p>
    <w:p>
      <w:pPr>
        <w:pStyle w:val="ListNumber"/>
      </w:pPr>
      <w:r>
        <w:t>Paso 6: Eos inventore reprehenderit voluptatem nobis.</w:t>
      </w:r>
    </w:p>
    <w:p>
      <w:pPr>
        <w:pStyle w:val="ListNumber"/>
      </w:pPr>
      <w:r>
        <w:t>Paso 7: Quidem voluptatibus omnis odit error aperiam.</w:t>
      </w:r>
    </w:p>
    <w:p>
      <w:pPr>
        <w:pStyle w:val="ListNumber"/>
      </w:pPr>
      <w:r>
        <w:t>Paso 8: Delectus alias aspernatur hic.</w:t>
      </w:r>
    </w:p>
    <w:p>
      <w:pPr>
        <w:pStyle w:val="ListNumber"/>
      </w:pPr>
      <w:r>
        <w:t>Paso 9: Laudantium dicta nisi nam.</w:t>
      </w:r>
    </w:p>
    <w:p>
      <w:pPr>
        <w:pStyle w:val="Heading2"/>
      </w:pPr>
      <w:r>
        <w:t>5. Registros</w:t>
      </w:r>
    </w:p>
    <w:p>
      <w:r>
        <w:t>Los registros generados deben conservarse durante 3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