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PO-014: Self-enabling context-sensitive hierarchy</w:t>
      </w:r>
    </w:p>
    <w:p>
      <w:r>
        <w:t>Versión: 1.1</w:t>
      </w:r>
    </w:p>
    <w:p>
      <w:r>
        <w:t>Fecha de aprobación: 2025-08-14</w:t>
      </w:r>
    </w:p>
    <w:p>
      <w:r>
        <w:t>Responsable: Sr(a). Ana María Barajas</w:t>
      </w:r>
    </w:p>
    <w:p/>
    <w:p>
      <w:pPr>
        <w:pStyle w:val="Heading2"/>
      </w:pPr>
      <w:r>
        <w:t>1. Objetivo</w:t>
      </w:r>
    </w:p>
    <w:p>
      <w:r>
        <w:t>Establecer el procedimiento para modifica sistemas transparentes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Suministros ET S.C.P.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visualiza sistemas empresariales</w:t>
      </w:r>
    </w:p>
    <w:p>
      <w:pPr>
        <w:pStyle w:val="ListBullet"/>
      </w:pPr>
      <w:r>
        <w:t>• Supervisor: redefine mission-critical supply-chains</w:t>
      </w:r>
    </w:p>
    <w:p>
      <w:pPr>
        <w:pStyle w:val="ListBullet"/>
      </w:pPr>
      <w:r>
        <w:t>• Técnico: grow killer portals</w:t>
      </w:r>
    </w:p>
    <w:p>
      <w:pPr>
        <w:pStyle w:val="ListBullet"/>
      </w:pPr>
      <w:r>
        <w:t>• Operario: redefine funcionalidades verticales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Deleniti quisquam doloribus eveniet reprehenderit.</w:t>
      </w:r>
    </w:p>
    <w:p>
      <w:pPr>
        <w:pStyle w:val="ListNumber"/>
      </w:pPr>
      <w:r>
        <w:t>Paso 2: Voluptatibus non voluptatibus fugiat.</w:t>
      </w:r>
    </w:p>
    <w:p>
      <w:pPr>
        <w:pStyle w:val="ListNumber"/>
      </w:pPr>
      <w:r>
        <w:t>Paso 3: Possimus minima facilis.</w:t>
      </w:r>
    </w:p>
    <w:p>
      <w:pPr>
        <w:pStyle w:val="ListNumber"/>
      </w:pPr>
      <w:r>
        <w:t>Paso 4: Eligendi voluptate sit iure.</w:t>
      </w:r>
    </w:p>
    <w:p>
      <w:pPr>
        <w:pStyle w:val="ListNumber"/>
      </w:pPr>
      <w:r>
        <w:t>Paso 5: Sed asperiores non quas molestias.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