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223" w:type="dxa"/>
        <w:tblInd w:w="-1440" w:type="dxa"/>
        <w:tblLook w:val="04A0"/>
      </w:tblPr>
      <w:tblGrid>
        <w:gridCol w:w="468"/>
        <w:gridCol w:w="620"/>
        <w:gridCol w:w="656"/>
        <w:gridCol w:w="706"/>
        <w:gridCol w:w="272"/>
        <w:gridCol w:w="122"/>
        <w:gridCol w:w="159"/>
        <w:gridCol w:w="497"/>
        <w:gridCol w:w="571"/>
        <w:gridCol w:w="135"/>
        <w:gridCol w:w="146"/>
        <w:gridCol w:w="393"/>
        <w:gridCol w:w="32"/>
        <w:gridCol w:w="281"/>
        <w:gridCol w:w="1036"/>
        <w:gridCol w:w="506"/>
        <w:gridCol w:w="200"/>
        <w:gridCol w:w="1588"/>
        <w:gridCol w:w="236"/>
        <w:gridCol w:w="36"/>
        <w:gridCol w:w="236"/>
        <w:gridCol w:w="837"/>
        <w:gridCol w:w="272"/>
        <w:gridCol w:w="207"/>
        <w:gridCol w:w="236"/>
        <w:gridCol w:w="36"/>
        <w:gridCol w:w="236"/>
        <w:gridCol w:w="837"/>
        <w:gridCol w:w="217"/>
        <w:gridCol w:w="19"/>
        <w:gridCol w:w="1488"/>
        <w:gridCol w:w="236"/>
        <w:gridCol w:w="682"/>
        <w:gridCol w:w="281"/>
        <w:gridCol w:w="1507"/>
        <w:gridCol w:w="236"/>
      </w:tblGrid>
      <w:tr w:rsidR="00E13292" w:rsidRPr="00E13292" w:rsidTr="00110143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292" w:rsidRPr="00E13292" w:rsidRDefault="00E13292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E13292" w:rsidRPr="00E13292" w:rsidRDefault="00345766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fil-PH" w:eastAsia="fil-PH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4099560</wp:posOffset>
                  </wp:positionH>
                  <wp:positionV relativeFrom="paragraph">
                    <wp:posOffset>45720</wp:posOffset>
                  </wp:positionV>
                  <wp:extent cx="744855" cy="791210"/>
                  <wp:effectExtent l="19050" t="0" r="0" b="0"/>
                  <wp:wrapNone/>
                  <wp:docPr id="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3195" t="6818" r="1765" b="52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val="fil-PH" w:eastAsia="fil-PH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-40640</wp:posOffset>
                  </wp:positionV>
                  <wp:extent cx="735330" cy="873125"/>
                  <wp:effectExtent l="19050" t="0" r="7620" b="0"/>
                  <wp:wrapNone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926" t="3410" r="76886" b="52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96" w:type="dxa"/>
            <w:gridSpan w:val="8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292" w:rsidRPr="00E13292" w:rsidRDefault="00E13292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292" w:rsidRPr="00E13292" w:rsidRDefault="00E13292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292" w:rsidRPr="00E13292" w:rsidRDefault="00E13292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292" w:rsidRPr="00E13292" w:rsidRDefault="00E13292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891B7B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913B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SOUTHERN PHILIPPINES MEDICAL CENTER</w:t>
            </w:r>
          </w:p>
        </w:tc>
        <w:tc>
          <w:tcPr>
            <w:tcW w:w="316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 xml:space="preserve">Pt. Name :                 </w:t>
            </w: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891B7B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913B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Department of Radiological and Imaging Science</w:t>
            </w: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Patient No</w:t>
            </w:r>
            <w:r>
              <w:rPr>
                <w:rFonts w:ascii="Arial" w:eastAsia="Times New Roman" w:hAnsi="Arial" w:cs="Arial"/>
                <w:lang w:eastAsia="en-PH"/>
              </w:rPr>
              <w:t>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4916BF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913B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J.P Laurel Ave., Baj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a</w:t>
            </w:r>
            <w:r w:rsidRPr="00E13292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da, 8000 Davao City</w:t>
            </w:r>
          </w:p>
        </w:tc>
        <w:tc>
          <w:tcPr>
            <w:tcW w:w="18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D21E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Age/Sex: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D21E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D21E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Status:</w:t>
            </w: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891B7B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0143" w:rsidRPr="00E13292" w:rsidRDefault="00110143" w:rsidP="003A78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Birth date: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110143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0143" w:rsidRPr="00E13292" w:rsidRDefault="00110143" w:rsidP="001101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CONTRAST MEDIA HISTORY &amp; ASSESSMENT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 xml:space="preserve"> FORM</w:t>
            </w:r>
          </w:p>
        </w:tc>
        <w:tc>
          <w:tcPr>
            <w:tcW w:w="18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Address: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891B7B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9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Examination:</w:t>
            </w:r>
          </w:p>
        </w:tc>
        <w:tc>
          <w:tcPr>
            <w:tcW w:w="5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3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010CF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Date: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891B7B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fil-PH" w:eastAsia="fil-PH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-238125</wp:posOffset>
                  </wp:positionV>
                  <wp:extent cx="317500" cy="254000"/>
                  <wp:effectExtent l="19050" t="0" r="6350" b="0"/>
                  <wp:wrapNone/>
                  <wp:docPr id="7" name="Rectangle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036320" y="1242060"/>
                            <a:ext cx="289560" cy="236220"/>
                            <a:chOff x="1036320" y="1242060"/>
                            <a:chExt cx="289560" cy="236220"/>
                          </a:xfrm>
                        </a:grpSpPr>
                        <a:sp>
                          <a:nvSpPr>
                            <a:cNvPr id="2060" name="Rectangle 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036320" y="1242060"/>
                              <a:ext cx="289560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0"/>
            </w:tblGrid>
            <w:tr w:rsidR="00110143" w:rsidRPr="00E13292">
              <w:trPr>
                <w:trHeight w:val="276"/>
                <w:tblCellSpacing w:w="0" w:type="dxa"/>
              </w:trPr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143" w:rsidRPr="00E13292" w:rsidRDefault="00110143" w:rsidP="0019011B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</w:pPr>
                  <w:r w:rsidRPr="00E13292"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  <w:t>IV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  <w:t>U</w:t>
                  </w:r>
                  <w:r w:rsidRPr="00E13292"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  <w:t xml:space="preserve"> </w:t>
                  </w:r>
                </w:p>
              </w:tc>
            </w:tr>
          </w:tbl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fil-PH" w:eastAsia="fil-PH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-250825</wp:posOffset>
                  </wp:positionV>
                  <wp:extent cx="311150" cy="254000"/>
                  <wp:effectExtent l="19050" t="0" r="0" b="0"/>
                  <wp:wrapNone/>
                  <wp:docPr id="8" name="Rectangle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1729740" y="1242060"/>
                            <a:ext cx="281940" cy="236220"/>
                            <a:chOff x="1729740" y="1242060"/>
                            <a:chExt cx="281940" cy="236220"/>
                          </a:xfrm>
                        </a:grpSpPr>
                        <a:sp>
                          <a:nvSpPr>
                            <a:cNvPr id="2061" name="Rectangle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729740" y="1242060"/>
                              <a:ext cx="281940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5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: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</w:p>
        </w:tc>
        <w:tc>
          <w:tcPr>
            <w:tcW w:w="134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fil-PH" w:eastAsia="fil-PH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-263525</wp:posOffset>
                  </wp:positionV>
                  <wp:extent cx="355600" cy="266700"/>
                  <wp:effectExtent l="19050" t="0" r="6350" b="0"/>
                  <wp:wrapNone/>
                  <wp:docPr id="9" name="Rectangle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3299460" y="1249680"/>
                            <a:ext cx="335280" cy="236220"/>
                            <a:chOff x="3299460" y="1249680"/>
                            <a:chExt cx="335280" cy="236220"/>
                          </a:xfrm>
                        </a:grpSpPr>
                        <a:sp>
                          <a:nvSpPr>
                            <a:cNvPr id="2062" name="Rectangle 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299460" y="1249680"/>
                              <a:ext cx="335280" cy="2362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3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0"/>
            </w:tblGrid>
            <w:tr w:rsidR="00110143" w:rsidRPr="00E13292">
              <w:trPr>
                <w:trHeight w:val="276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10143" w:rsidRPr="00E13292" w:rsidRDefault="00110143" w:rsidP="00E13292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</w:pPr>
                  <w:r w:rsidRPr="00E13292"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  <w:t>Others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en-PH"/>
                    </w:rPr>
                    <w:t>:</w:t>
                  </w:r>
                </w:p>
              </w:tc>
            </w:tr>
          </w:tbl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Ward: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891B7B">
        <w:trPr>
          <w:gridAfter w:val="1"/>
          <w:wAfter w:w="236" w:type="dxa"/>
          <w:trHeight w:val="276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5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3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13292">
              <w:rPr>
                <w:rFonts w:ascii="Arial" w:eastAsia="Times New Roman" w:hAnsi="Arial" w:cs="Arial"/>
                <w:lang w:eastAsia="en-PH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2"/>
          <w:wAfter w:w="1743" w:type="dxa"/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306" w:type="dxa"/>
            <w:gridSpan w:val="28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BE71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You have been schedule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 imaging exam that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requires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contrast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material to be administered through an intravenous (IV) line. Contrast material helps to enhance cert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ain portions of the body on the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image</w:t>
            </w:r>
          </w:p>
        </w:tc>
        <w:tc>
          <w:tcPr>
            <w:tcW w:w="27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2"/>
          <w:wAfter w:w="1743" w:type="dxa"/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306" w:type="dxa"/>
            <w:gridSpan w:val="2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2"/>
          <w:wAfter w:w="1743" w:type="dxa"/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10143" w:rsidRPr="00E13292" w:rsidRDefault="00110143" w:rsidP="008354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9011B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TO BE COMPLETED BY PATIENT OR GUARDIAN:</w:t>
            </w:r>
          </w:p>
        </w:tc>
        <w:tc>
          <w:tcPr>
            <w:tcW w:w="338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</w:pPr>
            <w:r w:rsidRPr="00835496">
              <w:rPr>
                <w:rFonts w:ascii="Arial" w:eastAsia="Times New Roman" w:hAnsi="Arial" w:cs="Arial"/>
                <w:b/>
                <w:sz w:val="20"/>
                <w:szCs w:val="20"/>
                <w:lang w:eastAsia="en-PH"/>
              </w:rPr>
              <w:t>POSSIBLE CONTRAST REACTIONS</w:t>
            </w:r>
          </w:p>
        </w:tc>
        <w:tc>
          <w:tcPr>
            <w:tcW w:w="27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2"/>
          <w:wAfter w:w="1743" w:type="dxa"/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920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Please answer yes or no to the following questions related to the patient medical history.</w:t>
            </w:r>
          </w:p>
        </w:tc>
        <w:tc>
          <w:tcPr>
            <w:tcW w:w="338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E30D50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30D50">
              <w:rPr>
                <w:rFonts w:ascii="Arial" w:eastAsia="Times New Roman" w:hAnsi="Arial" w:cs="Arial"/>
                <w:b/>
                <w:bCs/>
                <w:noProof/>
                <w:sz w:val="19"/>
                <w:szCs w:val="19"/>
                <w:lang w:eastAsia="en-PH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-1.45pt;margin-top:10.75pt;width:175.7pt;height:392.2pt;z-index:251669504;mso-position-horizontal-relative:text;mso-position-vertical-relative:text" stroked="f">
                  <v:textbox style="mso-next-textbox:#_x0000_s1035">
                    <w:txbxContent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b/>
                            <w:sz w:val="18"/>
                            <w:szCs w:val="18"/>
                          </w:rPr>
                          <w:t>MILD REACTIONS:</w:t>
                        </w:r>
                        <w:r w:rsidRPr="00BE71F2">
                          <w:rPr>
                            <w:sz w:val="18"/>
                            <w:szCs w:val="18"/>
                          </w:rPr>
                          <w:t xml:space="preserve"> No treatment necessary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1. Warm or flushed sensation (Mainit na pakiramdam)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 xml:space="preserve">2. Metallic taste in the mouth (May sa bakal na panlasa sa dila) 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 xml:space="preserve">3. Mild nausea and vomiting (nasusuka) 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4. Mild urticaria (puntik-puntik na pamumula ng balat)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5. Mild pruritus (pangangatl)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6. Mild diaphoresis (pagpapawis)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b/>
                            <w:sz w:val="18"/>
                            <w:szCs w:val="18"/>
                          </w:rPr>
                          <w:t>MODERATE REACTIONS:</w:t>
                        </w:r>
                        <w:r w:rsidRPr="00BE71F2">
                          <w:rPr>
                            <w:sz w:val="18"/>
                            <w:szCs w:val="18"/>
                          </w:rPr>
                          <w:t xml:space="preserve"> Treatment may be initiated More severe presentations of symptoms 1-6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1. Facial edema (Pa mamaga ng mukha)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2. Mild bronchospasm (banayad na pagsisikip ng daluyan ng hangin sa baga)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b/>
                            <w:sz w:val="18"/>
                            <w:szCs w:val="18"/>
                          </w:rPr>
                          <w:t>SEVERE REACTION:</w:t>
                        </w:r>
                        <w:r w:rsidRPr="00BE71F2">
                          <w:rPr>
                            <w:sz w:val="18"/>
                            <w:szCs w:val="18"/>
                          </w:rPr>
                          <w:t xml:space="preserve"> Must be treated immediately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1. Hypotensive shock (matinding pagbagsak ng blood pressure)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2. Cardiorespiratory arrest (pagpigil ng pagtibok rig puso at paghinga)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 xml:space="preserve">3. Pulmonary edema (pamamaga ng baga) 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 xml:space="preserve">4. Loss of consciousness (pakawala ng malay) 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5. Convuslons (kombulsion)</w:t>
                        </w:r>
                      </w:p>
                      <w:p w:rsidR="00110143" w:rsidRPr="00BE71F2" w:rsidRDefault="00110143" w:rsidP="004B2778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sz w:val="18"/>
                            <w:szCs w:val="18"/>
                          </w:rPr>
                          <w:t>6. Severe laryngeal &amp; bronchial spasm (sobrang pagsisikip ng daluyan rig hangin)</w:t>
                        </w:r>
                      </w:p>
                      <w:p w:rsidR="00110143" w:rsidRDefault="00110143" w:rsidP="004B2778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</w:rPr>
                        </w:pPr>
                      </w:p>
                      <w:p w:rsidR="00110143" w:rsidRPr="00BE71F2" w:rsidRDefault="00110143" w:rsidP="00DA2DD5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BE71F2">
                          <w:rPr>
                            <w:b/>
                            <w:sz w:val="18"/>
                            <w:szCs w:val="18"/>
                          </w:rPr>
                          <w:t>NOTE:</w:t>
                        </w:r>
                        <w:r w:rsidRPr="00BE71F2">
                          <w:rPr>
                            <w:sz w:val="18"/>
                            <w:szCs w:val="18"/>
                          </w:rPr>
                          <w:t xml:space="preserve"> The overall frequency of adverse reactions is only 5-10%. Most of these are very mild and need not be treated. However, in one of every 1,000 to 2,000 examinations, a moderate or severe reaction can occur.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7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3"/>
          <w:wAfter w:w="2024" w:type="dxa"/>
          <w:trHeight w:val="264"/>
        </w:trPr>
        <w:tc>
          <w:tcPr>
            <w:tcW w:w="4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 xml:space="preserve">YES  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NO</w:t>
            </w:r>
          </w:p>
        </w:tc>
        <w:tc>
          <w:tcPr>
            <w:tcW w:w="2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4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706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8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0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</w:p>
        </w:tc>
      </w:tr>
      <w:tr w:rsidR="00110143" w:rsidRPr="00E13292" w:rsidTr="00DA2DD5">
        <w:trPr>
          <w:gridAfter w:val="3"/>
          <w:wAfter w:w="2024" w:type="dxa"/>
          <w:trHeight w:val="90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314"/>
        </w:trPr>
        <w:tc>
          <w:tcPr>
            <w:tcW w:w="468" w:type="dxa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Have you had 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previous x-ray exam using IV contrast material (IVP, CT, ang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iogram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 etc.)?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575" w:type="dxa"/>
            <w:gridSpan w:val="1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90"/>
        </w:trPr>
        <w:tc>
          <w:tcPr>
            <w:tcW w:w="468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575" w:type="dxa"/>
            <w:gridSpan w:val="1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89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Are you allergic to 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contrast material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?</w:t>
            </w:r>
          </w:p>
        </w:tc>
        <w:tc>
          <w:tcPr>
            <w:tcW w:w="272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75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Do you have any history of allergy? </w:t>
            </w:r>
          </w:p>
        </w:tc>
        <w:tc>
          <w:tcPr>
            <w:tcW w:w="5811" w:type="dxa"/>
            <w:gridSpan w:val="1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75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yes pls. Specify: ________________</w:t>
            </w: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 you have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history of kidney disease?</w:t>
            </w:r>
          </w:p>
        </w:tc>
        <w:tc>
          <w:tcPr>
            <w:tcW w:w="27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105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314"/>
        </w:trPr>
        <w:tc>
          <w:tcPr>
            <w:tcW w:w="468" w:type="dxa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9E4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Do you have only one 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kidney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or 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had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 renal </w:t>
            </w:r>
          </w:p>
          <w:p w:rsidR="00110143" w:rsidRPr="00E13292" w:rsidRDefault="00110143" w:rsidP="009E4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(kidney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transplant?</w:t>
            </w:r>
          </w:p>
        </w:tc>
        <w:tc>
          <w:tcPr>
            <w:tcW w:w="1617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90"/>
        </w:trPr>
        <w:tc>
          <w:tcPr>
            <w:tcW w:w="468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9E4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617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4194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100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3878" w:type="dxa"/>
            <w:gridSpan w:val="11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 you have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history of diabetes?</w:t>
            </w:r>
          </w:p>
        </w:tc>
        <w:tc>
          <w:tcPr>
            <w:tcW w:w="178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105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60"/>
        </w:trPr>
        <w:tc>
          <w:tcPr>
            <w:tcW w:w="468" w:type="dxa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you tak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en the drug GLUCOPHAGE </w:t>
            </w:r>
          </w:p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(metformi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 hydrochloride) in the 24 hours?</w:t>
            </w:r>
          </w:p>
        </w:tc>
        <w:tc>
          <w:tcPr>
            <w:tcW w:w="5811" w:type="dxa"/>
            <w:gridSpan w:val="15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90"/>
        </w:trPr>
        <w:tc>
          <w:tcPr>
            <w:tcW w:w="468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811" w:type="dxa"/>
            <w:gridSpan w:val="15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75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900" w:firstLine="18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 you have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history of heart disease?</w:t>
            </w:r>
          </w:p>
        </w:tc>
        <w:tc>
          <w:tcPr>
            <w:tcW w:w="272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105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314"/>
        </w:trPr>
        <w:tc>
          <w:tcPr>
            <w:tcW w:w="468" w:type="dxa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835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Do 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you have sickle - cell anemia?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Pheochromocytoma?</w:t>
            </w:r>
          </w:p>
          <w:p w:rsidR="00110143" w:rsidRPr="00E13292" w:rsidRDefault="00110143" w:rsidP="00835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Pr="00DA2D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Myeloma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?</w:t>
            </w:r>
          </w:p>
        </w:tc>
        <w:tc>
          <w:tcPr>
            <w:tcW w:w="5811" w:type="dxa"/>
            <w:gridSpan w:val="15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90"/>
        </w:trPr>
        <w:tc>
          <w:tcPr>
            <w:tcW w:w="468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835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811" w:type="dxa"/>
            <w:gridSpan w:val="15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DA2DD5" w:rsidRDefault="00110143" w:rsidP="00DA2DD5">
            <w:pPr>
              <w:spacing w:after="0" w:line="240" w:lineRule="auto"/>
              <w:ind w:firstLineChars="100" w:firstLine="2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90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DA2DD5" w:rsidTr="00DA2DD5">
        <w:trPr>
          <w:gridAfter w:val="3"/>
          <w:wAfter w:w="2024" w:type="dxa"/>
          <w:trHeight w:val="287"/>
        </w:trPr>
        <w:tc>
          <w:tcPr>
            <w:tcW w:w="468" w:type="dxa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4B27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Are you pregnant or do you suspect that you might be pregnant?</w:t>
            </w:r>
          </w:p>
        </w:tc>
        <w:tc>
          <w:tcPr>
            <w:tcW w:w="1617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DA2DD5">
            <w:pPr>
              <w:spacing w:after="0" w:line="240" w:lineRule="auto"/>
              <w:ind w:firstLineChars="200" w:firstLine="400"/>
              <w:rPr>
                <w:rFonts w:ascii="Tahoma" w:eastAsia="Times New Roman" w:hAnsi="Tahoma" w:cs="Tahoma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gridAfter w:val="3"/>
          <w:wAfter w:w="2024" w:type="dxa"/>
          <w:trHeight w:val="90"/>
        </w:trPr>
        <w:tc>
          <w:tcPr>
            <w:tcW w:w="468" w:type="dxa"/>
            <w:vMerge/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666" w:type="dxa"/>
            <w:gridSpan w:val="1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617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4194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ind w:firstLineChars="200" w:firstLine="360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gridAfter w:val="3"/>
          <w:wAfter w:w="2024" w:type="dxa"/>
          <w:trHeight w:val="276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7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8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7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ind w:firstLineChars="200" w:firstLine="360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0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Weight: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010C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kg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ind w:firstLineChars="200" w:firstLine="360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0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Creatinine: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010C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mg/dl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Date taken: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0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ind w:firstLineChars="200" w:firstLine="360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049" w:type="dxa"/>
            <w:gridSpan w:val="31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10143" w:rsidRPr="00E13292" w:rsidRDefault="00110143" w:rsidP="008359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PH"/>
              </w:rPr>
              <w:t>AUTHORIZATION TO PERFORMANCE OF PROCEDURE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ind w:firstLineChars="200" w:firstLine="360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trHeight w:val="162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049" w:type="dxa"/>
            <w:gridSpan w:val="31"/>
            <w:vMerge w:val="restart"/>
            <w:tcBorders>
              <w:top w:val="nil"/>
              <w:left w:val="nil"/>
            </w:tcBorders>
            <w:shd w:val="clear" w:color="auto" w:fill="auto"/>
            <w:noWrap/>
            <w:hideMark/>
          </w:tcPr>
          <w:p w:rsidR="00110143" w:rsidRPr="00E13292" w:rsidRDefault="00110143" w:rsidP="004B27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 certify that the above information is true and accurate and I hereby consent to undergo ________ voluntar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il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 after</w:t>
            </w:r>
          </w:p>
          <w:p w:rsidR="00110143" w:rsidRDefault="00110143" w:rsidP="004B27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duly understanding the necessity and risk of such procedure. I further consent to the administration of the anesthesia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as may </w:t>
            </w:r>
          </w:p>
          <w:p w:rsidR="00110143" w:rsidRPr="00E13292" w:rsidRDefault="00110143" w:rsidP="004B27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be necessary and the taking of photograph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 the advancement of medical knowledge. Whatever the result of this</w:t>
            </w:r>
          </w:p>
          <w:p w:rsidR="00110143" w:rsidRPr="00E13292" w:rsidRDefault="00110143" w:rsidP="004B27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ntervention, I nor my guardian/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family shall not hold the SPMC staff liable to any charge.</w:t>
            </w:r>
          </w:p>
          <w:p w:rsidR="00110143" w:rsidRPr="00E13292" w:rsidRDefault="00110143" w:rsidP="004B27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049" w:type="dxa"/>
            <w:gridSpan w:val="31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049" w:type="dxa"/>
            <w:gridSpan w:val="31"/>
            <w:vMerge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049" w:type="dxa"/>
            <w:gridSpan w:val="31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7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562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0143" w:rsidRPr="00E13292" w:rsidRDefault="00110143" w:rsidP="001901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Signature or thumbmark of Patient/Parent/Guardian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4893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0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WITNESS: </w:t>
            </w:r>
          </w:p>
        </w:tc>
        <w:tc>
          <w:tcPr>
            <w:tcW w:w="33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Signature __________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30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Signature __________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0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75"/>
        </w:trPr>
        <w:tc>
          <w:tcPr>
            <w:tcW w:w="4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63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POST-CONTRAST INSTRUCTION: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325" w:type="dxa"/>
            <w:gridSpan w:val="29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10143" w:rsidRPr="00E13292" w:rsidRDefault="00110143" w:rsidP="008354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Please drink 8 glasses of water today. (Avoid beverage such as coffee, tea or soft drink which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contain caffeine and avoid alcoholic beverage. If your IV site sore, reddened or swollen, apply a warm, wet washcloth to the area for 15-20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Pr="00E1329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minutes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.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10143" w:rsidRPr="00E13292" w:rsidTr="00DA2DD5">
        <w:trPr>
          <w:trHeight w:val="2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1325" w:type="dxa"/>
            <w:gridSpan w:val="29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0143" w:rsidRPr="00E13292" w:rsidRDefault="00110143" w:rsidP="00E132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</w:tbl>
    <w:p w:rsidR="00D351DE" w:rsidRDefault="00D351DE"/>
    <w:sectPr w:rsidR="00D351DE" w:rsidSect="005F6B76">
      <w:footerReference w:type="default" r:id="rId9"/>
      <w:pgSz w:w="12240" w:h="18720" w:code="5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751" w:rsidRPr="008433FD" w:rsidRDefault="00A17751" w:rsidP="001F1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1">
    <w:p w:rsidR="00A17751" w:rsidRPr="008433FD" w:rsidRDefault="00A17751" w:rsidP="001F1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2BD" w:rsidRDefault="001F12BD" w:rsidP="001F12BD">
    <w:pPr>
      <w:pStyle w:val="Footer"/>
    </w:pPr>
    <w:r>
      <w:rPr>
        <w:sz w:val="24"/>
        <w:szCs w:val="24"/>
      </w:rPr>
      <w:t>SPMC-F-RAD-01</w:t>
    </w:r>
    <w:r>
      <w:tab/>
      <w:t xml:space="preserve">October 1, 2013 </w:t>
    </w:r>
    <w:r>
      <w:tab/>
      <w:t>Rev. 0</w:t>
    </w:r>
  </w:p>
  <w:p w:rsidR="001F12BD" w:rsidRDefault="001F12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751" w:rsidRPr="008433FD" w:rsidRDefault="00A17751" w:rsidP="001F1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1">
    <w:p w:rsidR="00A17751" w:rsidRPr="008433FD" w:rsidRDefault="00A17751" w:rsidP="001F12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3292"/>
    <w:rsid w:val="00110143"/>
    <w:rsid w:val="0019011B"/>
    <w:rsid w:val="001B16DA"/>
    <w:rsid w:val="001F12BD"/>
    <w:rsid w:val="00220CF9"/>
    <w:rsid w:val="002B2A10"/>
    <w:rsid w:val="00345766"/>
    <w:rsid w:val="00396B5C"/>
    <w:rsid w:val="003A780A"/>
    <w:rsid w:val="00435991"/>
    <w:rsid w:val="004B2778"/>
    <w:rsid w:val="005F6B76"/>
    <w:rsid w:val="00635C57"/>
    <w:rsid w:val="00666C35"/>
    <w:rsid w:val="00835496"/>
    <w:rsid w:val="0083596F"/>
    <w:rsid w:val="00891B7B"/>
    <w:rsid w:val="009E4F5D"/>
    <w:rsid w:val="00A17751"/>
    <w:rsid w:val="00B60835"/>
    <w:rsid w:val="00BE71F2"/>
    <w:rsid w:val="00D351DE"/>
    <w:rsid w:val="00DA2DD5"/>
    <w:rsid w:val="00E13292"/>
    <w:rsid w:val="00E30D50"/>
    <w:rsid w:val="00E9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2BD"/>
  </w:style>
  <w:style w:type="paragraph" w:styleId="Footer">
    <w:name w:val="footer"/>
    <w:basedOn w:val="Normal"/>
    <w:link w:val="FooterChar"/>
    <w:uiPriority w:val="99"/>
    <w:semiHidden/>
    <w:unhideWhenUsed/>
    <w:rsid w:val="001F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519E6-A8FD-4138-9049-B3E636A1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cp:lastPrinted>2014-03-27T07:30:00Z</cp:lastPrinted>
  <dcterms:created xsi:type="dcterms:W3CDTF">2014-01-09T02:03:00Z</dcterms:created>
  <dcterms:modified xsi:type="dcterms:W3CDTF">2017-02-07T00:48:00Z</dcterms:modified>
</cp:coreProperties>
</file>