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977A" w14:textId="3D8407AD" w:rsidR="00D867A3" w:rsidRDefault="00CA2538" w:rsidP="00CA2538">
      <w:pPr>
        <w:pStyle w:val="Heading1"/>
      </w:pPr>
      <w:r>
        <w:t>FDA Use Case Concept for SCITT</w:t>
      </w:r>
    </w:p>
    <w:p w14:paraId="36115A28" w14:textId="77777777" w:rsidR="00CA2538" w:rsidRDefault="00CA2538" w:rsidP="00CA2538"/>
    <w:p w14:paraId="634A29DE" w14:textId="5159D68B" w:rsidR="00CA2538" w:rsidRDefault="00CA2538" w:rsidP="00CA2538">
      <w:pPr>
        <w:pStyle w:val="Default"/>
        <w:rPr>
          <w:sz w:val="23"/>
          <w:szCs w:val="23"/>
        </w:rPr>
      </w:pPr>
      <w:r>
        <w:t>On March 30, 2023 the Food and Drug Administration (FDA) issued updated guidance “</w:t>
      </w:r>
      <w:r w:rsidRPr="00CA2538">
        <w:t>Guidance for Industry and Food and Drug Administration Staff</w:t>
      </w:r>
      <w:r>
        <w:t>” containing requirements for cybersecurity information that Medical Device Manufacturers (MDM) will be expected to submit with applications, described in “</w:t>
      </w:r>
      <w:r w:rsidRPr="00CA2538">
        <w:t>Cybersecurity in Medical Devices: Refuse to Accept Policy for Cyber Devices and Related Systems Under Section 524B of the FD&amp;C Act</w:t>
      </w:r>
      <w:r>
        <w:t xml:space="preserve">”, </w:t>
      </w:r>
      <w:r>
        <w:rPr>
          <w:sz w:val="23"/>
          <w:szCs w:val="23"/>
        </w:rPr>
        <w:t>“Ensuring Cybersecurity of Devices.”</w:t>
      </w:r>
      <w:r w:rsidR="00E55F97">
        <w:rPr>
          <w:sz w:val="23"/>
          <w:szCs w:val="23"/>
        </w:rPr>
        <w:t xml:space="preserve"> These rules went into effect on March 30, </w:t>
      </w:r>
      <w:r w:rsidR="005F4529">
        <w:rPr>
          <w:sz w:val="23"/>
          <w:szCs w:val="23"/>
        </w:rPr>
        <w:t>2023;</w:t>
      </w:r>
      <w:r w:rsidR="00E55F97">
        <w:rPr>
          <w:sz w:val="23"/>
          <w:szCs w:val="23"/>
        </w:rPr>
        <w:t xml:space="preserve"> </w:t>
      </w:r>
      <w:r w:rsidR="005F4529">
        <w:rPr>
          <w:sz w:val="23"/>
          <w:szCs w:val="23"/>
        </w:rPr>
        <w:t>however,</w:t>
      </w:r>
      <w:r w:rsidR="00E55F97">
        <w:rPr>
          <w:sz w:val="23"/>
          <w:szCs w:val="23"/>
        </w:rPr>
        <w:t xml:space="preserve"> enforcement has been delayed until October 1, 2023, at which time FDA may reject a medical device application that fails to provide the required cybersecurity information. </w:t>
      </w:r>
    </w:p>
    <w:p w14:paraId="357D15D6" w14:textId="77777777" w:rsidR="00CA2538" w:rsidRDefault="00CA2538" w:rsidP="00CA2538">
      <w:pPr>
        <w:pStyle w:val="Default"/>
        <w:rPr>
          <w:sz w:val="23"/>
          <w:szCs w:val="23"/>
        </w:rPr>
      </w:pPr>
    </w:p>
    <w:p w14:paraId="002DC9C1" w14:textId="21B44DAF" w:rsidR="00C418B8" w:rsidRDefault="005F4529" w:rsidP="00C418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MDMs</w:t>
      </w:r>
      <w:r w:rsidR="00CA2538">
        <w:rPr>
          <w:sz w:val="23"/>
          <w:szCs w:val="23"/>
        </w:rPr>
        <w:t xml:space="preserve"> are expected to provide the FDA with the following </w:t>
      </w:r>
      <w:r w:rsidR="0080490E">
        <w:rPr>
          <w:sz w:val="23"/>
          <w:szCs w:val="23"/>
        </w:rPr>
        <w:t>cybersecurity in</w:t>
      </w:r>
      <w:r w:rsidR="00CA2538">
        <w:rPr>
          <w:sz w:val="23"/>
          <w:szCs w:val="23"/>
        </w:rPr>
        <w:t>formation</w:t>
      </w:r>
      <w:r w:rsidR="0080490E">
        <w:rPr>
          <w:sz w:val="23"/>
          <w:szCs w:val="23"/>
        </w:rPr>
        <w:t xml:space="preserve"> with an application filed under section 510(k), 513, 515(c), 515(f), or 520(m) for a device that meets the definition of a cyber device. </w:t>
      </w:r>
      <w:r w:rsidR="00C418B8">
        <w:rPr>
          <w:sz w:val="23"/>
          <w:szCs w:val="23"/>
        </w:rPr>
        <w:t>The term ‘cyber device’ means a device that—</w:t>
      </w:r>
    </w:p>
    <w:p w14:paraId="77A1A197" w14:textId="77777777" w:rsidR="00C418B8" w:rsidRDefault="00C418B8" w:rsidP="00C418B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(1) includes software validated, installed, or authorized by the sponsor as a device or in a device;</w:t>
      </w:r>
    </w:p>
    <w:p w14:paraId="0EC10BB5" w14:textId="77777777" w:rsidR="00C418B8" w:rsidRDefault="00C418B8" w:rsidP="00C418B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(2) has the ability to connect to the internet; and</w:t>
      </w:r>
    </w:p>
    <w:p w14:paraId="25B72B17" w14:textId="1EEAC532" w:rsidR="00CA2538" w:rsidRDefault="00C418B8" w:rsidP="00C418B8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(3) contains any such technological characteristics validated, installed, or authorized by the sponsor that could be vulnerable to cybersecurity threats.</w:t>
      </w:r>
    </w:p>
    <w:p w14:paraId="4BA306F7" w14:textId="77777777" w:rsidR="00EB2D79" w:rsidRDefault="00EB2D79" w:rsidP="00C418B8">
      <w:pPr>
        <w:pStyle w:val="Default"/>
        <w:ind w:left="720"/>
        <w:rPr>
          <w:sz w:val="23"/>
          <w:szCs w:val="23"/>
        </w:rPr>
      </w:pPr>
    </w:p>
    <w:p w14:paraId="19BC31E9" w14:textId="5D408B74" w:rsidR="00EB2D79" w:rsidRDefault="00EB2D79" w:rsidP="00EB2D79">
      <w:pPr>
        <w:pStyle w:val="Heading2"/>
      </w:pPr>
      <w:r>
        <w:t>Cybersecurity Information Requirements</w:t>
      </w:r>
      <w:r w:rsidR="00E2626D">
        <w:t xml:space="preserve"> in Section 524B of the FD&amp;C Act</w:t>
      </w:r>
    </w:p>
    <w:p w14:paraId="6053099A" w14:textId="212B6B32" w:rsidR="00EB2D79" w:rsidRDefault="00EB2D79" w:rsidP="00EB2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(1) submit to the Secretary </w:t>
      </w:r>
      <w:r w:rsidRPr="00EB2D79">
        <w:rPr>
          <w:b/>
          <w:bCs/>
          <w:sz w:val="23"/>
          <w:szCs w:val="23"/>
          <w:highlight w:val="yellow"/>
        </w:rPr>
        <w:t>a plan</w:t>
      </w:r>
      <w:r>
        <w:rPr>
          <w:sz w:val="23"/>
          <w:szCs w:val="23"/>
        </w:rPr>
        <w:t xml:space="preserve"> to monitor, identify, and address, as appropriate, in a reasonable time, postmarket cybersecurity vulnerabilities and exploits, including coordinated vulnerability disclosure and related procedures; </w:t>
      </w:r>
    </w:p>
    <w:p w14:paraId="6CA44B35" w14:textId="77777777" w:rsidR="00EB2D79" w:rsidRDefault="00EB2D79" w:rsidP="00EB2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(2) </w:t>
      </w:r>
      <w:r w:rsidRPr="00EB2D79">
        <w:rPr>
          <w:b/>
          <w:bCs/>
          <w:sz w:val="23"/>
          <w:szCs w:val="23"/>
        </w:rPr>
        <w:t xml:space="preserve">design, develop, and maintain </w:t>
      </w:r>
      <w:r w:rsidRPr="00EB2D79">
        <w:rPr>
          <w:b/>
          <w:bCs/>
          <w:sz w:val="23"/>
          <w:szCs w:val="23"/>
          <w:highlight w:val="yellow"/>
        </w:rPr>
        <w:t>processes and procedures to provide a reasonable assurance that the device and related systems are cybersecure</w:t>
      </w:r>
      <w:r w:rsidRPr="00EB2D79">
        <w:rPr>
          <w:b/>
          <w:bCs/>
          <w:sz w:val="23"/>
          <w:szCs w:val="23"/>
        </w:rPr>
        <w:t>, and make available postmarket updates and patches to the device and related systems to address</w:t>
      </w:r>
      <w:r>
        <w:rPr>
          <w:sz w:val="23"/>
          <w:szCs w:val="23"/>
        </w:rPr>
        <w:t>—</w:t>
      </w:r>
    </w:p>
    <w:p w14:paraId="75E63087" w14:textId="77777777" w:rsidR="00EB2D79" w:rsidRDefault="00EB2D79" w:rsidP="00EB2D7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(A) on a reasonably justified regular cycle, known unacceptable vulnerabilities; and</w:t>
      </w:r>
    </w:p>
    <w:p w14:paraId="1AE0AA0D" w14:textId="77777777" w:rsidR="00EB2D79" w:rsidRDefault="00EB2D79" w:rsidP="00EB2D79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(B) as soon as possible out of cycle, critical vulnerabilities that could cause uncontrolled risks;</w:t>
      </w:r>
    </w:p>
    <w:p w14:paraId="37E863B4" w14:textId="77777777" w:rsidR="00EB2D79" w:rsidRDefault="00EB2D79" w:rsidP="00EB2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(3) </w:t>
      </w:r>
      <w:r w:rsidRPr="00EB2D79">
        <w:rPr>
          <w:b/>
          <w:bCs/>
          <w:sz w:val="23"/>
          <w:szCs w:val="23"/>
        </w:rPr>
        <w:t xml:space="preserve">provide to the Secretary a </w:t>
      </w:r>
      <w:r w:rsidRPr="00EB2D79">
        <w:rPr>
          <w:b/>
          <w:bCs/>
          <w:sz w:val="23"/>
          <w:szCs w:val="23"/>
          <w:highlight w:val="yellow"/>
        </w:rPr>
        <w:t>software bill of materials</w:t>
      </w:r>
      <w:r>
        <w:rPr>
          <w:sz w:val="23"/>
          <w:szCs w:val="23"/>
        </w:rPr>
        <w:t>, including commercial, open-source, and off-the-shelf software components; and</w:t>
      </w:r>
    </w:p>
    <w:p w14:paraId="1ECBAB90" w14:textId="6945C5F5" w:rsidR="00EB2D79" w:rsidRDefault="00EB2D79" w:rsidP="00EB2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(4) comply with such other requirements as the Secretary may require through regulation to demonstrate reasonable assurance that the device and related systems are cybersecure.</w:t>
      </w:r>
    </w:p>
    <w:p w14:paraId="674A6250" w14:textId="77777777" w:rsidR="00EB2D79" w:rsidRDefault="00EB2D79" w:rsidP="00EB2D79">
      <w:pPr>
        <w:pStyle w:val="Default"/>
        <w:rPr>
          <w:sz w:val="23"/>
          <w:szCs w:val="23"/>
        </w:rPr>
      </w:pPr>
    </w:p>
    <w:p w14:paraId="46B128F5" w14:textId="4DBB2120" w:rsidR="00EB2D79" w:rsidRDefault="00EB2D79" w:rsidP="00EB2D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It’s conceivable that </w:t>
      </w:r>
      <w:r w:rsidR="00847804">
        <w:rPr>
          <w:sz w:val="23"/>
          <w:szCs w:val="23"/>
        </w:rPr>
        <w:t xml:space="preserve">documentation describing </w:t>
      </w:r>
      <w:r>
        <w:rPr>
          <w:sz w:val="23"/>
          <w:szCs w:val="23"/>
        </w:rPr>
        <w:t xml:space="preserve">3 distinct </w:t>
      </w:r>
      <w:r w:rsidR="00847804">
        <w:rPr>
          <w:sz w:val="23"/>
          <w:szCs w:val="23"/>
        </w:rPr>
        <w:t>topics</w:t>
      </w:r>
      <w:r>
        <w:rPr>
          <w:sz w:val="23"/>
          <w:szCs w:val="23"/>
        </w:rPr>
        <w:t xml:space="preserve"> may be provided to the FDA</w:t>
      </w:r>
      <w:r w:rsidR="00847804">
        <w:rPr>
          <w:sz w:val="23"/>
          <w:szCs w:val="23"/>
        </w:rPr>
        <w:t>, by a MDM, in order</w:t>
      </w:r>
      <w:r>
        <w:rPr>
          <w:sz w:val="23"/>
          <w:szCs w:val="23"/>
        </w:rPr>
        <w:t xml:space="preserve"> to address these requirements:</w:t>
      </w:r>
    </w:p>
    <w:p w14:paraId="4353A19F" w14:textId="1EF2B8B8" w:rsidR="00EB2D79" w:rsidRPr="00EB2D79" w:rsidRDefault="00EB2D79" w:rsidP="00EB2D79">
      <w:pPr>
        <w:pStyle w:val="Default"/>
        <w:numPr>
          <w:ilvl w:val="0"/>
          <w:numId w:val="1"/>
        </w:numPr>
      </w:pPr>
      <w:r>
        <w:t xml:space="preserve">A plan to </w:t>
      </w:r>
      <w:r>
        <w:rPr>
          <w:sz w:val="23"/>
          <w:szCs w:val="23"/>
        </w:rPr>
        <w:t>monitor, identify, and address post</w:t>
      </w:r>
      <w:r w:rsidR="00847804">
        <w:rPr>
          <w:sz w:val="23"/>
          <w:szCs w:val="23"/>
        </w:rPr>
        <w:t>-</w:t>
      </w:r>
      <w:r>
        <w:rPr>
          <w:sz w:val="23"/>
          <w:szCs w:val="23"/>
        </w:rPr>
        <w:t>market cybersecurity vulnerabilities and exploits including coordinated vulnerability disclosure and related procedures</w:t>
      </w:r>
    </w:p>
    <w:p w14:paraId="4EF738F2" w14:textId="74B51075" w:rsidR="00EB2D79" w:rsidRDefault="00EB2D79" w:rsidP="00EB2D79">
      <w:pPr>
        <w:pStyle w:val="Default"/>
        <w:numPr>
          <w:ilvl w:val="0"/>
          <w:numId w:val="1"/>
        </w:numPr>
      </w:pPr>
      <w:r>
        <w:t>Documented processes and procedures to provide reasonable assurance that the device and related systems are cybersecure and make available post-market updates and patches available to end users</w:t>
      </w:r>
      <w:r w:rsidR="00847804">
        <w:t xml:space="preserve"> of the device</w:t>
      </w:r>
    </w:p>
    <w:p w14:paraId="380ABBE2" w14:textId="3BBFCABF" w:rsidR="00847804" w:rsidRDefault="00847804" w:rsidP="00EB2D79">
      <w:pPr>
        <w:pStyle w:val="Default"/>
        <w:numPr>
          <w:ilvl w:val="0"/>
          <w:numId w:val="1"/>
        </w:numPr>
      </w:pPr>
      <w:r>
        <w:t>A software bill of materials (SBOM)</w:t>
      </w:r>
    </w:p>
    <w:p w14:paraId="486B89FA" w14:textId="77777777" w:rsidR="00D05C6A" w:rsidRDefault="00D05C6A" w:rsidP="00D05C6A">
      <w:pPr>
        <w:pStyle w:val="Default"/>
      </w:pPr>
    </w:p>
    <w:p w14:paraId="6E3F4AC7" w14:textId="7B46E5E7" w:rsidR="00D05C6A" w:rsidRDefault="00D05C6A" w:rsidP="00D05C6A">
      <w:pPr>
        <w:pStyle w:val="Default"/>
      </w:pPr>
      <w:r>
        <w:lastRenderedPageBreak/>
        <w:t xml:space="preserve">Submitters are expected to </w:t>
      </w:r>
      <w:hyperlink r:id="rId8" w:history="1">
        <w:r w:rsidRPr="00D05C6A">
          <w:rPr>
            <w:rStyle w:val="Hyperlink"/>
            <w:sz w:val="23"/>
            <w:szCs w:val="23"/>
          </w:rPr>
          <w:t>submit acceptance checklists with their submissions that identify the location of supporting information for each Refuse to Accept (RTA) element</w:t>
        </w:r>
      </w:hyperlink>
      <w:r>
        <w:rPr>
          <w:sz w:val="23"/>
          <w:szCs w:val="23"/>
        </w:rPr>
        <w:t xml:space="preserve">. </w:t>
      </w:r>
      <w:r>
        <w:t xml:space="preserve"> This includes the new cybersecurity artifacts required under section 524B, identified above.</w:t>
      </w:r>
    </w:p>
    <w:p w14:paraId="08283A0C" w14:textId="77777777" w:rsidR="00D05C6A" w:rsidRDefault="00D05C6A" w:rsidP="00D05C6A">
      <w:pPr>
        <w:pStyle w:val="Default"/>
      </w:pPr>
    </w:p>
    <w:p w14:paraId="112EB9AA" w14:textId="2537A259" w:rsidR="00E2626D" w:rsidRDefault="00E2626D" w:rsidP="00D05C6A">
      <w:pPr>
        <w:pStyle w:val="Default"/>
      </w:pPr>
      <w:r>
        <w:t>This document describe</w:t>
      </w:r>
      <w:r w:rsidR="008314DA">
        <w:t>s</w:t>
      </w:r>
      <w:r>
        <w:t xml:space="preserve"> one possible use case in which a Supply Chain Integrity, Transparency and Trust (SCITT) Registry, operated by a SCITT Transparency Service provider </w:t>
      </w:r>
      <w:r w:rsidR="008314DA">
        <w:t xml:space="preserve">implements a “registration policy” to maintain </w:t>
      </w:r>
      <w:r>
        <w:t>trusted statements identifying the location of supporting information required by 524B</w:t>
      </w:r>
      <w:r w:rsidR="008314DA">
        <w:t>. This use case will be referred to as the “SCITT FDA Cybersecurity Use Case”</w:t>
      </w:r>
      <w:r w:rsidR="00F97D42">
        <w:t xml:space="preserve">, contained in a single </w:t>
      </w:r>
      <w:hyperlink r:id="rId9" w:history="1">
        <w:r w:rsidR="00F97D42" w:rsidRPr="00255654">
          <w:rPr>
            <w:rStyle w:val="Hyperlink"/>
          </w:rPr>
          <w:t>open-source “Vendor Response File” (VRF)</w:t>
        </w:r>
      </w:hyperlink>
      <w:r w:rsidR="00F97D42">
        <w:t xml:space="preserve"> supplied to a Transparency Service in the payload of a “trusted statement”. </w:t>
      </w:r>
    </w:p>
    <w:p w14:paraId="7B05CA2D" w14:textId="77777777" w:rsidR="008314DA" w:rsidRDefault="008314DA" w:rsidP="00D05C6A">
      <w:pPr>
        <w:pStyle w:val="Default"/>
      </w:pPr>
    </w:p>
    <w:p w14:paraId="71D3C2B1" w14:textId="415D1638" w:rsidR="008314DA" w:rsidRDefault="000736D2" w:rsidP="000736D2">
      <w:pPr>
        <w:pStyle w:val="Heading2"/>
      </w:pPr>
      <w:r>
        <w:t>SCITT FDA Cybersecurity Use Case Description</w:t>
      </w:r>
    </w:p>
    <w:p w14:paraId="437DBD41" w14:textId="72824A44" w:rsidR="00796286" w:rsidRPr="00857A85" w:rsidRDefault="00D83731" w:rsidP="000736D2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Purpose: Provide FDA personnel with the location information </w:t>
      </w:r>
      <w:r w:rsidR="00AB0BD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for</w:t>
      </w: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section 524 RTA elements provided by an MDM</w:t>
      </w:r>
      <w:r w:rsidR="00AB0BD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submitting an application to the FDA. Locations for the following RTA elements will be provided</w:t>
      </w:r>
      <w:r w:rsidR="00AB0BD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 a single</w:t>
      </w:r>
      <w:r w:rsidR="001043A2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, open-source</w:t>
      </w:r>
      <w:r w:rsidR="00AB0BD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hyperlink r:id="rId10" w:history="1">
        <w:r w:rsidR="00AB0BD5" w:rsidRPr="00857A85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“Vendor Response File” (VRF)</w:t>
        </w:r>
      </w:hyperlink>
      <w:r w:rsidR="00AB0BD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that will be made available to the FDA via a SCITT Transparency Service, using a REST API</w:t>
      </w:r>
      <w:r w:rsidR="00084085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51A42F46" w14:textId="5487CCAC" w:rsidR="00D83731" w:rsidRPr="00857A85" w:rsidRDefault="00AB0BD5" w:rsidP="00AB0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location of a document describing cybersecurity practices currently in use, or planned to be in use, by the MDM submitting an application to FDA (identified by data element </w:t>
      </w:r>
      <w:r w:rsidR="005922DA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CyberSecPolicyURL in the VRF)</w:t>
      </w:r>
    </w:p>
    <w:p w14:paraId="49187CB2" w14:textId="11A8701D" w:rsidR="001043A2" w:rsidRPr="00857A85" w:rsidRDefault="005922DA" w:rsidP="00065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location of a document describing processes and procedures to provide reasonable assurance that the device and related systems are cybersecure and make available post-market updates and patches available to end users of the device (identified by data elements </w:t>
      </w:r>
      <w:r w:rsidR="001043A2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SDLCPolicyURL and KnownVulnInfoURL in the VRF)</w:t>
      </w:r>
    </w:p>
    <w:p w14:paraId="41D0DB6C" w14:textId="414B6192" w:rsidR="001043A2" w:rsidRPr="00857A85" w:rsidRDefault="001043A2" w:rsidP="000657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The location of an SBOM document for the product (identified by data element SBOM/URL in the VRF)</w:t>
      </w:r>
    </w:p>
    <w:p w14:paraId="6CEC5C4A" w14:textId="385F658F" w:rsidR="001043A2" w:rsidRPr="00857A85" w:rsidRDefault="00000000" w:rsidP="001043A2">
      <w:pPr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1" w:history="1">
        <w:r w:rsidR="001043A2" w:rsidRPr="00857A85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An example open-source Vendor Response File (VRF) is available online</w:t>
        </w:r>
      </w:hyperlink>
      <w:r w:rsidR="001043A2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60B77EE" w14:textId="07FBEC80" w:rsidR="005C14BC" w:rsidRPr="00857A85" w:rsidRDefault="00000000" w:rsidP="001043A2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2" w:history="1">
        <w:r w:rsidR="00782F2B" w:rsidRPr="006562FB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https://raw.githubusercontent.com/rjb4standards/REA-Products/master/jsonvrf.json</w:t>
        </w:r>
      </w:hyperlink>
      <w:r w:rsidR="00782F2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11353263" w14:textId="2C006410" w:rsidR="001043A2" w:rsidRPr="00857A85" w:rsidRDefault="001043A2" w:rsidP="001043A2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This use case includes the following activities:</w:t>
      </w:r>
    </w:p>
    <w:p w14:paraId="01D3A926" w14:textId="77777777" w:rsidR="002C0DD0" w:rsidRPr="00857A85" w:rsidRDefault="00084085" w:rsidP="00104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Registration of a Vendor Response File (VRF) within a SCITT Transparency Service with an appropriate “Registration Policy” specifying that FDA Vendor Response Files for Section 524B are stored in the registry.</w:t>
      </w:r>
    </w:p>
    <w:p w14:paraId="53F2D5B4" w14:textId="77777777" w:rsidR="00741E94" w:rsidRPr="00857A85" w:rsidRDefault="002C0DD0" w:rsidP="00104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MDM is responsible for filling in the contents of the VRF and submitting the completed VRF </w:t>
      </w:r>
      <w:r w:rsidR="00741E94"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to the SCITT Transparency Service</w:t>
      </w:r>
    </w:p>
    <w:p w14:paraId="48467FBF" w14:textId="77777777" w:rsidR="00741E94" w:rsidRPr="00857A85" w:rsidRDefault="00741E94" w:rsidP="00104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The SCITT Transparency Service will issue a receipt to the MDM upon completing the VRF registration, that also includes an URL to access the VRF within the registry</w:t>
      </w:r>
    </w:p>
    <w:p w14:paraId="44A445D0" w14:textId="03BF94DD" w:rsidR="001043A2" w:rsidRPr="00857A85" w:rsidRDefault="00741E94" w:rsidP="00104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The MDM provides the FDA with a link to the registered VRF.</w:t>
      </w:r>
    </w:p>
    <w:p w14:paraId="15C088CC" w14:textId="096EA7D4" w:rsidR="00741E94" w:rsidRPr="00857A85" w:rsidRDefault="00741E94" w:rsidP="00104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The FDA retrieves the VRF from the SCITT Transparency Service using the supplied link</w:t>
      </w:r>
    </w:p>
    <w:p w14:paraId="5205FA34" w14:textId="77777777" w:rsidR="00741E94" w:rsidRPr="00857A85" w:rsidRDefault="00741E94" w:rsidP="004117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After retrieving the VRF, the FDA can now use the VRF data to lookup the location of each 524B artifact listed in the CyberSecPolicyURL, SDLCPolicyURL, KnownVulnInfoURL and SBOM/URL data elements and download each file.</w:t>
      </w:r>
    </w:p>
    <w:p w14:paraId="76F30939" w14:textId="30B16A68" w:rsidR="00847804" w:rsidRPr="00857A85" w:rsidRDefault="00741E94" w:rsidP="008478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57A85">
        <w:rPr>
          <w:rFonts w:ascii="Times New Roman" w:hAnsi="Times New Roman" w:cs="Times New Roman"/>
          <w:color w:val="000000"/>
          <w:kern w:val="0"/>
          <w:sz w:val="24"/>
          <w:szCs w:val="24"/>
        </w:rPr>
        <w:t>The FDA performs its processing steps to validate and process the downloaded data files as part of the application process</w:t>
      </w:r>
    </w:p>
    <w:sectPr w:rsidR="00847804" w:rsidRPr="00857A8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BAC5" w14:textId="77777777" w:rsidR="007C449D" w:rsidRDefault="007C449D" w:rsidP="00676BE3">
      <w:pPr>
        <w:spacing w:after="0" w:line="240" w:lineRule="auto"/>
      </w:pPr>
      <w:r>
        <w:separator/>
      </w:r>
    </w:p>
  </w:endnote>
  <w:endnote w:type="continuationSeparator" w:id="0">
    <w:p w14:paraId="7A375E35" w14:textId="77777777" w:rsidR="007C449D" w:rsidRDefault="007C449D" w:rsidP="0067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4A73B" w14:textId="09894E88" w:rsidR="00676BE3" w:rsidRDefault="00676BE3">
    <w:pPr>
      <w:pStyle w:val="Footer"/>
    </w:pPr>
    <w:r>
      <w:t xml:space="preserve">Copyright and all other rights reserved by Reliable Energy Analytics LLC (REA) 2018-2023 </w:t>
    </w:r>
  </w:p>
  <w:p w14:paraId="54F5A018" w14:textId="77777777" w:rsidR="00676BE3" w:rsidRDefault="00676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F71E" w14:textId="77777777" w:rsidR="007C449D" w:rsidRDefault="007C449D" w:rsidP="00676BE3">
      <w:pPr>
        <w:spacing w:after="0" w:line="240" w:lineRule="auto"/>
      </w:pPr>
      <w:r>
        <w:separator/>
      </w:r>
    </w:p>
  </w:footnote>
  <w:footnote w:type="continuationSeparator" w:id="0">
    <w:p w14:paraId="31467F44" w14:textId="77777777" w:rsidR="007C449D" w:rsidRDefault="007C449D" w:rsidP="00676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38CD"/>
    <w:multiLevelType w:val="hybridMultilevel"/>
    <w:tmpl w:val="97FAD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4207"/>
    <w:multiLevelType w:val="hybridMultilevel"/>
    <w:tmpl w:val="D89A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232DE"/>
    <w:multiLevelType w:val="hybridMultilevel"/>
    <w:tmpl w:val="D9EA6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606792">
    <w:abstractNumId w:val="0"/>
  </w:num>
  <w:num w:numId="2" w16cid:durableId="2081365036">
    <w:abstractNumId w:val="1"/>
  </w:num>
  <w:num w:numId="3" w16cid:durableId="173561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8"/>
    <w:rsid w:val="000736D2"/>
    <w:rsid w:val="00084085"/>
    <w:rsid w:val="001043A2"/>
    <w:rsid w:val="00255654"/>
    <w:rsid w:val="002C0DD0"/>
    <w:rsid w:val="005922DA"/>
    <w:rsid w:val="005C14BC"/>
    <w:rsid w:val="005F4529"/>
    <w:rsid w:val="006134D1"/>
    <w:rsid w:val="00676BE3"/>
    <w:rsid w:val="00741E94"/>
    <w:rsid w:val="00782F2B"/>
    <w:rsid w:val="007868FA"/>
    <w:rsid w:val="00796286"/>
    <w:rsid w:val="007C449D"/>
    <w:rsid w:val="0080490E"/>
    <w:rsid w:val="008314DA"/>
    <w:rsid w:val="00847804"/>
    <w:rsid w:val="00857A85"/>
    <w:rsid w:val="00A3684F"/>
    <w:rsid w:val="00AB0BD5"/>
    <w:rsid w:val="00B55D71"/>
    <w:rsid w:val="00C418B8"/>
    <w:rsid w:val="00CA2538"/>
    <w:rsid w:val="00D05C6A"/>
    <w:rsid w:val="00D41419"/>
    <w:rsid w:val="00D83731"/>
    <w:rsid w:val="00D867A3"/>
    <w:rsid w:val="00E2626D"/>
    <w:rsid w:val="00E55F97"/>
    <w:rsid w:val="00EB2D79"/>
    <w:rsid w:val="00F9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C7C5"/>
  <w15:chartTrackingRefBased/>
  <w15:docId w15:val="{7D3732F4-39EB-468F-BEF4-CDE801B8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A25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2D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3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3"/>
  </w:style>
  <w:style w:type="paragraph" w:styleId="Footer">
    <w:name w:val="footer"/>
    <w:basedOn w:val="Normal"/>
    <w:link w:val="FooterChar"/>
    <w:uiPriority w:val="99"/>
    <w:unhideWhenUsed/>
    <w:rsid w:val="0067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da.gov/media/83888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w.githubusercontent.com/rjb4standards/REA-Products/master/jsonvrf.j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rjb4standards/REA-Products/master/jsonvrf.j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ergycentral.com/c/pip/advice-software-vendors-prepare-omb-m-22-18-requirem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ergycentral.com/c/pip/advice-software-vendors-prepare-omb-m-22-18-requirem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B318F-5239-4B12-A327-B52BB8313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Brooks</dc:creator>
  <cp:keywords/>
  <dc:description/>
  <cp:lastModifiedBy>Richard Brooks</cp:lastModifiedBy>
  <cp:revision>23</cp:revision>
  <dcterms:created xsi:type="dcterms:W3CDTF">2023-06-06T17:32:00Z</dcterms:created>
  <dcterms:modified xsi:type="dcterms:W3CDTF">2023-06-06T19:31:00Z</dcterms:modified>
</cp:coreProperties>
</file>