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 Report About Organizational Color Standards</w:t>
      </w:r>
    </w:p>
    <w:p>
      <w:r>
        <w:t>We will utilize the new color scheme to maximize organizational efficiency. The committee will analyze the data, e.g. the labor statistics, and finalize the program by January 15, 2024.</w:t>
      </w:r>
    </w:p>
    <w:p>
      <w:pPr>
        <w:pStyle w:val="Heading2"/>
      </w:pPr>
      <w:r>
        <w:t>Key Findings And Recommendations</w:t>
      </w:r>
    </w:p>
    <w:p>
      <w:r>
        <w:t>The center realized that 5 percent of stakeholders favor the old behavior — a result we did not recognize earlier.</w:t>
      </w:r>
    </w:p>
    <w:p>
      <w:pPr>
        <w:pStyle w:val="ListBullet"/>
      </w:pPr>
      <w:r>
        <w:t>First item ends with a semicolon;</w:t>
      </w:r>
    </w:p>
    <w:p>
      <w:pPr>
        <w:pStyle w:val="ListBullet"/>
      </w:pPr>
      <w:r>
        <w:t>Second item ends with and; and</w:t>
      </w:r>
    </w:p>
    <w:p>
      <w:pPr>
        <w:pStyle w:val="ListBullet"/>
      </w:pPr>
      <w:r>
        <w:t>Third item ends with a full stop.</w:t>
      </w:r>
    </w:p>
    <w:p>
      <w:r>
        <w:rPr>
          <w:b/>
        </w:rPr>
        <w:t>This Bold Line Is Really A Heading</w:t>
      </w:r>
    </w:p>
    <w:p>
      <w:r>
        <w:t>The org</w:t>
      </w:r>
      <w:r>
        <w:rPr>
          <w:i/>
        </w:rPr>
        <w:t>anize</w:t>
      </w:r>
      <w:r>
        <w:t>d committee met at 3.30pm.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Colorful data</w:t>
            </w:r>
          </w:p>
        </w:tc>
        <w:tc>
          <w:tcPr>
            <w:tcW w:type="dxa" w:w="4320"/>
          </w:tcPr>
          <w:p>
            <w:r>
              <w:t>Approx. 100 items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