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6215C"/>
          <w:sz w:val="48"/>
          <w:szCs w:val="48"/>
        </w:rPr>
        <w:t xml:space="preserve">COLT</w:t>
      </w:r>
    </w:p>
    <w:p>
      <w:pPr>
        <w:spacing w:after="20"/>
      </w:pPr>
      <w:r>
        <w:rPr>
          <w:b/>
          <w:bCs/>
          <w:color w:val="1A1A1A"/>
          <w:sz w:val="32"/>
          <w:szCs w:val="32"/>
        </w:rPr>
        <w:t xml:space="preserve">QLD Basketball Pilot Blueprint</w:t>
      </w:r>
    </w:p>
    <w:p>
      <w:pPr>
        <w:spacing w:after="240"/>
      </w:pPr>
      <w:r>
        <w:rPr>
          <w:color w:val="5F5E5A"/>
          <w:sz w:val="20"/>
          <w:szCs w:val="20"/>
        </w:rPr>
        <w:t xml:space="preserve">The curated-expert hybrid model  ·  June 2026</w:t>
      </w:r>
    </w:p>
    <w:p>
      <w:pPr>
        <w:spacing w:after="120"/>
      </w:pPr>
      <w:r>
        <w:rPr>
          <w:b w:val="false"/>
          <w:bCs w:val="false"/>
          <w:i/>
          <w:iCs/>
        </w:rPr>
        <w:t xml:space="preserve">This blueprint sets out how COLT tests its operating model in a single, deliberately narrow market — Queensland basketball — by pairing a club’s squad-wide distribution with one vetted expert coach, and by splitting paid value into two tiers. It is a pilot design and a decision framework, not a commitment of final pricing. Figures marked illustrative are hypotheses to calibrate in the pilot.</w:t>
      </w:r>
    </w:p>
    <w:p>
      <w:pPr>
        <w:pStyle w:val="Heading1"/>
      </w:pPr>
      <w:r>
        <w:t xml:space="preserve">1. Strategic thesis</w:t>
      </w:r>
    </w:p>
    <w:p>
      <w:pPr>
        <w:spacing w:after="120"/>
      </w:pPr>
      <w:r>
        <w:rPr>
          <w:b w:val="false"/>
          <w:bCs w:val="false"/>
          <w:i w:val="false"/>
          <w:iCs w:val="false"/>
        </w:rPr>
        <w:t xml:space="preserve">The hard problem in youth athlete development is not building a coach tool — that layer is mature and crowded (TrainHeroic, CoachNow, Playbook). The real constraints are demand and supply. Clubs are the cheapest source of demand: a single club delivers a whole squad of engaged families at once, plus the trust to recommend the product. Expert coaches are the scarce source of supply: real development expertise that volunteer-run clubs generally lack.</w:t>
      </w:r>
    </w:p>
    <w:p>
      <w:pPr>
        <w:spacing w:after="120"/>
      </w:pPr>
      <w:r>
        <w:rPr>
          <w:b w:val="false"/>
          <w:bCs w:val="false"/>
          <w:i w:val="false"/>
          <w:iCs w:val="false"/>
        </w:rPr>
        <w:t xml:space="preserve">So COLT does not become a two-sided marketplace (ruled out for cold-start, youth-safeguarding and channel-conflict reasons). Instead it keeps clubs as the demand and distribution engine, brings in one vetted expert as the supply, and owns the engagement loop, the billing and the data in the middle. Demand is built first — for free — and only then monetised.</w:t>
      </w:r>
    </w:p>
    <w:p>
      <w:pPr>
        <w:spacing w:after="120"/>
      </w:pPr>
      <w:r>
        <w:rPr>
          <w:b w:val="false"/>
          <w:bCs w:val="false"/>
          <w:i w:val="false"/>
          <w:iCs w:val="false"/>
        </w:rPr>
        <w:t xml:space="preserve">Why Queensland basketball: basketball is Australia’s fastest-growing team sport and second most-played, with roughly 1.3 million participants nationally and 350,000+ regular juniors; Queensland alone has 210,000+ participants and a documented court shortfall in the south-east — demand outstripping supply, which is exactly the condition in which parents pay for an edge. It is also local, hot, and big enough to clone from.</w:t>
      </w:r>
    </w:p>
    <w:p>
      <w:pPr>
        <w:pStyle w:val="Heading1"/>
      </w:pPr>
      <w:r>
        <w:t xml:space="preserve">2. The operating model</w:t>
      </w:r>
    </w:p>
    <w:p>
      <w:pPr>
        <w:spacing w:after="120"/>
      </w:pPr>
      <w:r>
        <w:rPr>
          <w:b w:val="false"/>
          <w:bCs w:val="false"/>
          <w:i w:val="false"/>
          <w:iCs w:val="false"/>
        </w:rPr>
        <w:t xml:space="preserve">The journey runs from a free, club-driven day-one sign-up, through a gamified habit loop that doubles as the data-capture engine, across a conversion gate into two paid tiers, and out to a verified development profile that feeds elite pathways — which in turn drives the next wave of sign-ups (the flywheel).</w:t>
      </w:r>
    </w:p>
    <w:p>
      <w:pPr>
        <w:spacing w:after="80" w:before="120"/>
        <w:jc w:val="center"/>
      </w:pPr>
      <w:r>
        <w:drawing>
          <wp:inline distT="0" distB="0" distL="0" distR="0">
            <wp:extent cx="5143500" cy="4991100"/>
            <wp:effectExtent t="0" r="0" b="0" l="0"/>
            <wp:docPr id="1" name="funnel" descr="Free sign-up to verified data flywheel" title="COLT f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4991100"/>
                    </a:xfrm>
                    <a:prstGeom prst="rect">
                      <a:avLst/>
                    </a:prstGeom>
                  </pic:spPr>
                </pic:pic>
              </a:graphicData>
            </a:graphic>
          </wp:inline>
        </w:drawing>
      </w:r>
    </w:p>
    <w:p>
      <w:pPr>
        <w:spacing w:after="120"/>
      </w:pPr>
      <w:r>
        <w:rPr>
          <w:b w:val="false"/>
          <w:bCs w:val="false"/>
          <w:i/>
          <w:iCs/>
        </w:rPr>
        <w:t xml:space="preserve">Key point: gamification is the data-capture engine, not the product. XP, streaks (Heat) and squad leaderboards exist to get athletes logging attendance, sessions and drills consistently. That behavioural record is the raw material everything paid is built on.</w:t>
      </w:r>
    </w:p>
    <w:p>
      <w:pPr>
        <w:pStyle w:val="Heading1"/>
      </w:pPr>
      <w:r>
        <w:t xml:space="preserve">3. The tiers</w:t>
      </w:r>
    </w:p>
    <w:p>
      <w:pPr>
        <w:spacing w:after="120"/>
      </w:pPr>
      <w:r>
        <w:rPr>
          <w:b w:val="false"/>
          <w:bCs w:val="false"/>
          <w:i w:val="false"/>
          <w:iCs w:val="false"/>
        </w:rPr>
        <w:t xml:space="preserve">Free is the collective layer that builds the moat and is never paywalled. Tier 1 is the individual training edge. Tier 2 adds verification and human feedback — the “close to a personal coach” layer where willingness-to-pay is highest and where the operationally heavy verification work is deliberately placed behind the higher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rPr>
          <w:tblHeader/>
        </w:trPr>
        <w:tc>
          <w:tcPr>
            <w:tcW w:type="dxa" w:w="2760"/>
            <w:tcBorders>
              <w:top w:val="single" w:color="CCCCCC" w:sz="1"/>
              <w:left w:val="single" w:color="CCCCCC" w:sz="1"/>
              <w:bottom w:val="single" w:color="CCCCCC" w:sz="1"/>
              <w:right w:val="single" w:color="CCCCCC" w:sz="1"/>
            </w:tcBorders>
            <w:shd w:fill="26215C" w:val="clear"/>
            <w:tcMar>
              <w:top w:type="dxa" w:w="80"/>
              <w:left w:type="dxa" w:w="120"/>
              <w:bottom w:type="dxa" w:w="80"/>
              <w:right w:type="dxa" w:w="120"/>
            </w:tcMar>
          </w:tcPr>
          <w:p>
            <w:pPr>
              <w:jc w:val="left"/>
            </w:pPr>
            <w:r>
              <w:rPr>
                <w:b/>
                <w:bCs/>
                <w:color w:val="FFFFFF"/>
                <w:sz w:val="20"/>
                <w:szCs w:val="20"/>
              </w:rPr>
              <w:t xml:space="preserve"/>
            </w:r>
          </w:p>
        </w:tc>
        <w:tc>
          <w:tcPr>
            <w:tcW w:type="dxa" w:w="2200"/>
            <w:tcBorders>
              <w:top w:val="single" w:color="CCCCCC" w:sz="1"/>
              <w:left w:val="single" w:color="CCCCCC" w:sz="1"/>
              <w:bottom w:val="single" w:color="CCCCCC" w:sz="1"/>
              <w:right w:val="single" w:color="CCCCCC" w:sz="1"/>
            </w:tcBorders>
            <w:shd w:fill="26215C" w:val="clear"/>
            <w:tcMar>
              <w:top w:type="dxa" w:w="80"/>
              <w:left w:type="dxa" w:w="120"/>
              <w:bottom w:type="dxa" w:w="80"/>
              <w:right w:type="dxa" w:w="120"/>
            </w:tcMar>
          </w:tcPr>
          <w:p>
            <w:pPr>
              <w:jc w:val="left"/>
            </w:pPr>
            <w:r>
              <w:rPr>
                <w:b/>
                <w:bCs/>
                <w:color w:val="FFFFFF"/>
                <w:sz w:val="20"/>
                <w:szCs w:val="20"/>
              </w:rPr>
              <w:t xml:space="preserve">Free (collective)</w:t>
            </w:r>
          </w:p>
        </w:tc>
        <w:tc>
          <w:tcPr>
            <w:tcW w:type="dxa" w:w="2200"/>
            <w:tcBorders>
              <w:top w:val="single" w:color="CCCCCC" w:sz="1"/>
              <w:left w:val="single" w:color="CCCCCC" w:sz="1"/>
              <w:bottom w:val="single" w:color="CCCCCC" w:sz="1"/>
              <w:right w:val="single" w:color="CCCCCC" w:sz="1"/>
            </w:tcBorders>
            <w:shd w:fill="26215C" w:val="clear"/>
            <w:tcMar>
              <w:top w:type="dxa" w:w="80"/>
              <w:left w:type="dxa" w:w="120"/>
              <w:bottom w:type="dxa" w:w="80"/>
              <w:right w:type="dxa" w:w="120"/>
            </w:tcMar>
          </w:tcPr>
          <w:p>
            <w:pPr>
              <w:jc w:val="left"/>
            </w:pPr>
            <w:r>
              <w:rPr>
                <w:b/>
                <w:bCs/>
                <w:color w:val="FFFFFF"/>
                <w:sz w:val="20"/>
                <w:szCs w:val="20"/>
              </w:rPr>
              <w:t xml:space="preserve">Tier 1 — ~$9.99/mo</w:t>
            </w:r>
          </w:p>
        </w:tc>
        <w:tc>
          <w:tcPr>
            <w:tcW w:type="dxa" w:w="2200"/>
            <w:tcBorders>
              <w:top w:val="single" w:color="CCCCCC" w:sz="1"/>
              <w:left w:val="single" w:color="CCCCCC" w:sz="1"/>
              <w:bottom w:val="single" w:color="CCCCCC" w:sz="1"/>
              <w:right w:val="single" w:color="CCCCCC" w:sz="1"/>
            </w:tcBorders>
            <w:shd w:fill="26215C" w:val="clear"/>
            <w:tcMar>
              <w:top w:type="dxa" w:w="80"/>
              <w:left w:type="dxa" w:w="120"/>
              <w:bottom w:type="dxa" w:w="80"/>
              <w:right w:type="dxa" w:w="120"/>
            </w:tcMar>
          </w:tcPr>
          <w:p>
            <w:pPr>
              <w:jc w:val="left"/>
            </w:pPr>
            <w:r>
              <w:rPr>
                <w:b/>
                <w:bCs/>
                <w:color w:val="FFFFFF"/>
                <w:sz w:val="20"/>
                <w:szCs w:val="20"/>
              </w:rPr>
              <w:t xml:space="preserve">Tier 2 — ~$19.99/mo</w:t>
            </w:r>
          </w:p>
        </w:tc>
      </w:tr>
      <w:tr>
        <w:tc>
          <w:tcPr>
            <w:tcW w:type="dxa" w:w="2760"/>
            <w:tcBorders>
              <w:top w:val="single" w:color="CCCCCC" w:sz="1"/>
              <w:left w:val="single" w:color="CCCCCC" w:sz="1"/>
              <w:bottom w:val="single" w:color="CCCCCC" w:sz="1"/>
              <w:right w:val="single" w:color="CCCCCC" w:sz="1"/>
            </w:tcBorders>
            <w:shd w:fill="F2F1FB" w:val="clear"/>
            <w:tcMar>
              <w:top w:type="dxa" w:w="80"/>
              <w:left w:type="dxa" w:w="120"/>
              <w:bottom w:type="dxa" w:w="80"/>
              <w:right w:type="dxa" w:w="120"/>
            </w:tcMar>
          </w:tcPr>
          <w:p>
            <w:pPr>
              <w:jc w:val="left"/>
            </w:pPr>
            <w:r>
              <w:rPr>
                <w:b/>
                <w:bCs/>
                <w:color w:val="1A1A1A"/>
                <w:sz w:val="20"/>
                <w:szCs w:val="20"/>
              </w:rPr>
              <w:t xml:space="preserve">Who it's for</w:t>
            </w:r>
          </w:p>
        </w:tc>
        <w:tc>
          <w:tcPr>
            <w:tcW w:type="dxa" w:w="2200"/>
            <w:tcBorders>
              <w:top w:val="single" w:color="CCCCCC" w:sz="1"/>
              <w:left w:val="single" w:color="CCCCCC" w:sz="1"/>
              <w:bottom w:val="single" w:color="CCCCCC" w:sz="1"/>
              <w:right w:val="single" w:color="CCCCCC" w:sz="1"/>
            </w:tcBorders>
            <w:shd w:fill="F2F1FB" w:val="clear"/>
            <w:tcMar>
              <w:top w:type="dxa" w:w="80"/>
              <w:left w:type="dxa" w:w="120"/>
              <w:bottom w:type="dxa" w:w="80"/>
              <w:right w:type="dxa" w:w="120"/>
            </w:tcMar>
          </w:tcPr>
          <w:p>
            <w:pPr>
              <w:jc w:val="left"/>
            </w:pPr>
            <w:r>
              <w:rPr>
                <w:b w:val="false"/>
                <w:bCs w:val="false"/>
                <w:color w:val="1A1A1A"/>
                <w:sz w:val="20"/>
                <w:szCs w:val="20"/>
              </w:rPr>
              <w:t xml:space="preserve">Whole squad + parents</w:t>
            </w:r>
          </w:p>
        </w:tc>
        <w:tc>
          <w:tcPr>
            <w:tcW w:type="dxa" w:w="2200"/>
            <w:tcBorders>
              <w:top w:val="single" w:color="CCCCCC" w:sz="1"/>
              <w:left w:val="single" w:color="CCCCCC" w:sz="1"/>
              <w:bottom w:val="single" w:color="CCCCCC" w:sz="1"/>
              <w:right w:val="single" w:color="CCCCCC" w:sz="1"/>
            </w:tcBorders>
            <w:shd w:fill="F2F1FB" w:val="clear"/>
            <w:tcMar>
              <w:top w:type="dxa" w:w="80"/>
              <w:left w:type="dxa" w:w="120"/>
              <w:bottom w:type="dxa" w:w="80"/>
              <w:right w:type="dxa" w:w="120"/>
            </w:tcMar>
          </w:tcPr>
          <w:p>
            <w:pPr>
              <w:jc w:val="left"/>
            </w:pPr>
            <w:r>
              <w:rPr>
                <w:b w:val="false"/>
                <w:bCs w:val="false"/>
                <w:color w:val="1A1A1A"/>
                <w:sz w:val="20"/>
                <w:szCs w:val="20"/>
              </w:rPr>
              <w:t xml:space="preserve">Parent wants the edge</w:t>
            </w:r>
          </w:p>
        </w:tc>
        <w:tc>
          <w:tcPr>
            <w:tcW w:type="dxa" w:w="2200"/>
            <w:tcBorders>
              <w:top w:val="single" w:color="CCCCCC" w:sz="1"/>
              <w:left w:val="single" w:color="CCCCCC" w:sz="1"/>
              <w:bottom w:val="single" w:color="CCCCCC" w:sz="1"/>
              <w:right w:val="single" w:color="CCCCCC" w:sz="1"/>
            </w:tcBorders>
            <w:shd w:fill="F2F1FB" w:val="clear"/>
            <w:tcMar>
              <w:top w:type="dxa" w:w="80"/>
              <w:left w:type="dxa" w:w="120"/>
              <w:bottom w:type="dxa" w:w="80"/>
              <w:right w:type="dxa" w:w="120"/>
            </w:tcMar>
          </w:tcPr>
          <w:p>
            <w:pPr>
              <w:jc w:val="left"/>
            </w:pPr>
            <w:r>
              <w:rPr>
                <w:b w:val="false"/>
                <w:bCs w:val="false"/>
                <w:color w:val="1A1A1A"/>
                <w:sz w:val="20"/>
                <w:szCs w:val="20"/>
              </w:rPr>
              <w:t xml:space="preserve">Parent wants a personal-coach experience</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A1A1A"/>
                <w:sz w:val="20"/>
                <w:szCs w:val="20"/>
              </w:rPr>
              <w:t xml:space="preserve">Squad, comms, schedule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Yes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Yes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Yes</w:t>
            </w:r>
          </w:p>
        </w:tc>
      </w:tr>
      <w:tr>
        <w:tc>
          <w:tcPr>
            <w:tcW w:type="dxa" w:w="2760"/>
            <w:tcBorders>
              <w:top w:val="single" w:color="CCCCCC" w:sz="1"/>
              <w:left w:val="single" w:color="CCCCCC" w:sz="1"/>
              <w:bottom w:val="single" w:color="CCCCCC" w:sz="1"/>
              <w:right w:val="single" w:color="CCCCCC" w:sz="1"/>
            </w:tcBorders>
            <w:shd w:fill="F2F1FB" w:val="clear"/>
            <w:tcMar>
              <w:top w:type="dxa" w:w="80"/>
              <w:left w:type="dxa" w:w="120"/>
              <w:bottom w:type="dxa" w:w="80"/>
              <w:right w:type="dxa" w:w="120"/>
            </w:tcMar>
          </w:tcPr>
          <w:p>
            <w:pPr>
              <w:jc w:val="left"/>
            </w:pPr>
            <w:r>
              <w:rPr>
                <w:b/>
                <w:bCs/>
                <w:color w:val="1A1A1A"/>
                <w:sz w:val="20"/>
                <w:szCs w:val="20"/>
              </w:rPr>
              <w:t xml:space="preserve">Core library + social gamification</w:t>
            </w:r>
          </w:p>
        </w:tc>
        <w:tc>
          <w:tcPr>
            <w:tcW w:type="dxa" w:w="2200"/>
            <w:tcBorders>
              <w:top w:val="single" w:color="CCCCCC" w:sz="1"/>
              <w:left w:val="single" w:color="CCCCCC" w:sz="1"/>
              <w:bottom w:val="single" w:color="CCCCCC" w:sz="1"/>
              <w:right w:val="single" w:color="CCCCCC" w:sz="1"/>
            </w:tcBorders>
            <w:shd w:fill="F2F1FB" w:val="clear"/>
            <w:tcMar>
              <w:top w:type="dxa" w:w="80"/>
              <w:left w:type="dxa" w:w="120"/>
              <w:bottom w:type="dxa" w:w="80"/>
              <w:right w:type="dxa" w:w="120"/>
            </w:tcMar>
          </w:tcPr>
          <w:p>
            <w:pPr>
              <w:jc w:val="left"/>
            </w:pPr>
            <w:r>
              <w:rPr>
                <w:b w:val="false"/>
                <w:bCs w:val="false"/>
                <w:color w:val="1A1A1A"/>
                <w:sz w:val="20"/>
                <w:szCs w:val="20"/>
              </w:rPr>
              <w:t xml:space="preserve">Yes</w:t>
            </w:r>
          </w:p>
        </w:tc>
        <w:tc>
          <w:tcPr>
            <w:tcW w:type="dxa" w:w="2200"/>
            <w:tcBorders>
              <w:top w:val="single" w:color="CCCCCC" w:sz="1"/>
              <w:left w:val="single" w:color="CCCCCC" w:sz="1"/>
              <w:bottom w:val="single" w:color="CCCCCC" w:sz="1"/>
              <w:right w:val="single" w:color="CCCCCC" w:sz="1"/>
            </w:tcBorders>
            <w:shd w:fill="F2F1FB" w:val="clear"/>
            <w:tcMar>
              <w:top w:type="dxa" w:w="80"/>
              <w:left w:type="dxa" w:w="120"/>
              <w:bottom w:type="dxa" w:w="80"/>
              <w:right w:type="dxa" w:w="120"/>
            </w:tcMar>
          </w:tcPr>
          <w:p>
            <w:pPr>
              <w:jc w:val="left"/>
            </w:pPr>
            <w:r>
              <w:rPr>
                <w:b w:val="false"/>
                <w:bCs w:val="false"/>
                <w:color w:val="1A1A1A"/>
                <w:sz w:val="20"/>
                <w:szCs w:val="20"/>
              </w:rPr>
              <w:t xml:space="preserve">Yes</w:t>
            </w:r>
          </w:p>
        </w:tc>
        <w:tc>
          <w:tcPr>
            <w:tcW w:type="dxa" w:w="2200"/>
            <w:tcBorders>
              <w:top w:val="single" w:color="CCCCCC" w:sz="1"/>
              <w:left w:val="single" w:color="CCCCCC" w:sz="1"/>
              <w:bottom w:val="single" w:color="CCCCCC" w:sz="1"/>
              <w:right w:val="single" w:color="CCCCCC" w:sz="1"/>
            </w:tcBorders>
            <w:shd w:fill="F2F1FB" w:val="clear"/>
            <w:tcMar>
              <w:top w:type="dxa" w:w="80"/>
              <w:left w:type="dxa" w:w="120"/>
              <w:bottom w:type="dxa" w:w="80"/>
              <w:right w:type="dxa" w:w="120"/>
            </w:tcMar>
          </w:tcPr>
          <w:p>
            <w:pPr>
              <w:jc w:val="left"/>
            </w:pPr>
            <w:r>
              <w:rPr>
                <w:b w:val="false"/>
                <w:bCs w:val="false"/>
                <w:color w:val="1A1A1A"/>
                <w:sz w:val="20"/>
                <w:szCs w:val="20"/>
              </w:rPr>
              <w:t xml:space="preserve">Yes</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A1A1A"/>
                <w:sz w:val="20"/>
                <w:szCs w:val="20"/>
              </w:rPr>
              <w:t xml:space="preserve">Tailored expert program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Yes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Yes</w:t>
            </w:r>
          </w:p>
        </w:tc>
      </w:tr>
      <w:tr>
        <w:tc>
          <w:tcPr>
            <w:tcW w:type="dxa" w:w="2760"/>
            <w:tcBorders>
              <w:top w:val="single" w:color="CCCCCC" w:sz="1"/>
              <w:left w:val="single" w:color="CCCCCC" w:sz="1"/>
              <w:bottom w:val="single" w:color="CCCCCC" w:sz="1"/>
              <w:right w:val="single" w:color="CCCCCC" w:sz="1"/>
            </w:tcBorders>
            <w:shd w:fill="F2F1FB" w:val="clear"/>
            <w:tcMar>
              <w:top w:type="dxa" w:w="80"/>
              <w:left w:type="dxa" w:w="120"/>
              <w:bottom w:type="dxa" w:w="80"/>
              <w:right w:type="dxa" w:w="120"/>
            </w:tcMar>
          </w:tcPr>
          <w:p>
            <w:pPr>
              <w:jc w:val="left"/>
            </w:pPr>
            <w:r>
              <w:rPr>
                <w:b/>
                <w:bCs/>
                <w:color w:val="1A1A1A"/>
                <w:sz w:val="20"/>
                <w:szCs w:val="20"/>
              </w:rPr>
              <w:t xml:space="preserve">Ongoing development (weekly drops, challenges)</w:t>
            </w:r>
          </w:p>
        </w:tc>
        <w:tc>
          <w:tcPr>
            <w:tcW w:type="dxa" w:w="2200"/>
            <w:tcBorders>
              <w:top w:val="single" w:color="CCCCCC" w:sz="1"/>
              <w:left w:val="single" w:color="CCCCCC" w:sz="1"/>
              <w:bottom w:val="single" w:color="CCCCCC" w:sz="1"/>
              <w:right w:val="single" w:color="CCCCCC" w:sz="1"/>
            </w:tcBorders>
            <w:shd w:fill="F2F1FB" w:val="clear"/>
            <w:tcMar>
              <w:top w:type="dxa" w:w="80"/>
              <w:left w:type="dxa" w:w="120"/>
              <w:bottom w:type="dxa" w:w="80"/>
              <w:right w:type="dxa" w:w="120"/>
            </w:tcMar>
          </w:tcPr>
          <w:p>
            <w:pPr>
              <w:jc w:val="left"/>
            </w:pPr>
            <w:r>
              <w:rPr>
                <w:b w:val="false"/>
                <w:bCs w:val="false"/>
                <w:color w:val="1A1A1A"/>
                <w:sz w:val="20"/>
                <w:szCs w:val="20"/>
              </w:rPr>
              <w:t xml:space="preserve">—</w:t>
            </w:r>
          </w:p>
        </w:tc>
        <w:tc>
          <w:tcPr>
            <w:tcW w:type="dxa" w:w="2200"/>
            <w:tcBorders>
              <w:top w:val="single" w:color="CCCCCC" w:sz="1"/>
              <w:left w:val="single" w:color="CCCCCC" w:sz="1"/>
              <w:bottom w:val="single" w:color="CCCCCC" w:sz="1"/>
              <w:right w:val="single" w:color="CCCCCC" w:sz="1"/>
            </w:tcBorders>
            <w:shd w:fill="F2F1FB" w:val="clear"/>
            <w:tcMar>
              <w:top w:type="dxa" w:w="80"/>
              <w:left w:type="dxa" w:w="120"/>
              <w:bottom w:type="dxa" w:w="80"/>
              <w:right w:type="dxa" w:w="120"/>
            </w:tcMar>
          </w:tcPr>
          <w:p>
            <w:pPr>
              <w:jc w:val="left"/>
            </w:pPr>
            <w:r>
              <w:rPr>
                <w:b w:val="false"/>
                <w:bCs w:val="false"/>
                <w:color w:val="1A1A1A"/>
                <w:sz w:val="20"/>
                <w:szCs w:val="20"/>
              </w:rPr>
              <w:t xml:space="preserve">Yes</w:t>
            </w:r>
          </w:p>
        </w:tc>
        <w:tc>
          <w:tcPr>
            <w:tcW w:type="dxa" w:w="2200"/>
            <w:tcBorders>
              <w:top w:val="single" w:color="CCCCCC" w:sz="1"/>
              <w:left w:val="single" w:color="CCCCCC" w:sz="1"/>
              <w:bottom w:val="single" w:color="CCCCCC" w:sz="1"/>
              <w:right w:val="single" w:color="CCCCCC" w:sz="1"/>
            </w:tcBorders>
            <w:shd w:fill="F2F1FB" w:val="clear"/>
            <w:tcMar>
              <w:top w:type="dxa" w:w="80"/>
              <w:left w:type="dxa" w:w="120"/>
              <w:bottom w:type="dxa" w:w="80"/>
              <w:right w:type="dxa" w:w="120"/>
            </w:tcMar>
          </w:tcPr>
          <w:p>
            <w:pPr>
              <w:jc w:val="left"/>
            </w:pPr>
            <w:r>
              <w:rPr>
                <w:b w:val="false"/>
                <w:bCs w:val="false"/>
                <w:color w:val="1A1A1A"/>
                <w:sz w:val="20"/>
                <w:szCs w:val="20"/>
              </w:rPr>
              <w:t xml:space="preserve">Yes</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A1A1A"/>
                <w:sz w:val="20"/>
                <w:szCs w:val="20"/>
              </w:rPr>
              <w:t xml:space="preserve">Parent progress 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Basic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Full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Full</w:t>
            </w:r>
          </w:p>
        </w:tc>
      </w:tr>
      <w:tr>
        <w:tc>
          <w:tcPr>
            <w:tcW w:type="dxa" w:w="2760"/>
            <w:tcBorders>
              <w:top w:val="single" w:color="CCCCCC" w:sz="1"/>
              <w:left w:val="single" w:color="CCCCCC" w:sz="1"/>
              <w:bottom w:val="single" w:color="CCCCCC" w:sz="1"/>
              <w:right w:val="single" w:color="CCCCCC" w:sz="1"/>
            </w:tcBorders>
            <w:shd w:fill="E9F6F1" w:val="clear"/>
            <w:tcMar>
              <w:top w:type="dxa" w:w="80"/>
              <w:left w:type="dxa" w:w="120"/>
              <w:bottom w:type="dxa" w:w="80"/>
              <w:right w:type="dxa" w:w="120"/>
            </w:tcMar>
          </w:tcPr>
          <w:p>
            <w:pPr>
              <w:jc w:val="left"/>
            </w:pPr>
            <w:r>
              <w:rPr>
                <w:b/>
                <w:bCs/>
                <w:color w:val="1A1A1A"/>
                <w:sz w:val="20"/>
                <w:szCs w:val="20"/>
              </w:rPr>
              <w:t xml:space="preserve">Verified benchmark testing</w:t>
            </w:r>
          </w:p>
        </w:tc>
        <w:tc>
          <w:tcPr>
            <w:tcW w:type="dxa" w:w="2200"/>
            <w:tcBorders>
              <w:top w:val="single" w:color="CCCCCC" w:sz="1"/>
              <w:left w:val="single" w:color="CCCCCC" w:sz="1"/>
              <w:bottom w:val="single" w:color="CCCCCC" w:sz="1"/>
              <w:right w:val="single" w:color="CCCCCC" w:sz="1"/>
            </w:tcBorders>
            <w:shd w:fill="E9F6F1" w:val="clear"/>
            <w:tcMar>
              <w:top w:type="dxa" w:w="80"/>
              <w:left w:type="dxa" w:w="120"/>
              <w:bottom w:type="dxa" w:w="80"/>
              <w:right w:type="dxa" w:w="120"/>
            </w:tcMar>
          </w:tcPr>
          <w:p>
            <w:pPr>
              <w:jc w:val="left"/>
            </w:pPr>
            <w:r>
              <w:rPr>
                <w:b w:val="false"/>
                <w:bCs w:val="false"/>
                <w:color w:val="1A1A1A"/>
                <w:sz w:val="20"/>
                <w:szCs w:val="20"/>
              </w:rPr>
              <w:t xml:space="preserve">—</w:t>
            </w:r>
          </w:p>
        </w:tc>
        <w:tc>
          <w:tcPr>
            <w:tcW w:type="dxa" w:w="2200"/>
            <w:tcBorders>
              <w:top w:val="single" w:color="CCCCCC" w:sz="1"/>
              <w:left w:val="single" w:color="CCCCCC" w:sz="1"/>
              <w:bottom w:val="single" w:color="CCCCCC" w:sz="1"/>
              <w:right w:val="single" w:color="CCCCCC" w:sz="1"/>
            </w:tcBorders>
            <w:shd w:fill="E9F6F1" w:val="clear"/>
            <w:tcMar>
              <w:top w:type="dxa" w:w="80"/>
              <w:left w:type="dxa" w:w="120"/>
              <w:bottom w:type="dxa" w:w="80"/>
              <w:right w:type="dxa" w:w="120"/>
            </w:tcMar>
          </w:tcPr>
          <w:p>
            <w:pPr>
              <w:jc w:val="left"/>
            </w:pPr>
            <w:r>
              <w:rPr>
                <w:b w:val="false"/>
                <w:bCs w:val="false"/>
                <w:color w:val="1A1A1A"/>
                <w:sz w:val="20"/>
                <w:szCs w:val="20"/>
              </w:rPr>
              <w:t xml:space="preserve">—</w:t>
            </w:r>
          </w:p>
        </w:tc>
        <w:tc>
          <w:tcPr>
            <w:tcW w:type="dxa" w:w="2200"/>
            <w:tcBorders>
              <w:top w:val="single" w:color="CCCCCC" w:sz="1"/>
              <w:left w:val="single" w:color="CCCCCC" w:sz="1"/>
              <w:bottom w:val="single" w:color="CCCCCC" w:sz="1"/>
              <w:right w:val="single" w:color="CCCCCC" w:sz="1"/>
            </w:tcBorders>
            <w:shd w:fill="E9F6F1" w:val="clear"/>
            <w:tcMar>
              <w:top w:type="dxa" w:w="80"/>
              <w:left w:type="dxa" w:w="120"/>
              <w:bottom w:type="dxa" w:w="80"/>
              <w:right w:type="dxa" w:w="120"/>
            </w:tcMar>
          </w:tcPr>
          <w:p>
            <w:pPr>
              <w:jc w:val="left"/>
            </w:pPr>
            <w:r>
              <w:rPr>
                <w:b w:val="false"/>
                <w:bCs w:val="false"/>
                <w:color w:val="1A1A1A"/>
                <w:sz w:val="20"/>
                <w:szCs w:val="20"/>
              </w:rPr>
              <w:t xml:space="preserve">Yes</w:t>
            </w:r>
          </w:p>
        </w:tc>
      </w:tr>
      <w:tr>
        <w:tc>
          <w:tcPr>
            <w:tcW w:type="dxa" w:w="2760"/>
            <w:tcBorders>
              <w:top w:val="single" w:color="CCCCCC" w:sz="1"/>
              <w:left w:val="single" w:color="CCCCCC" w:sz="1"/>
              <w:bottom w:val="single" w:color="CCCCCC" w:sz="1"/>
              <w:right w:val="single" w:color="CCCCCC" w:sz="1"/>
            </w:tcBorders>
            <w:shd w:fill="E9F6F1" w:val="clear"/>
            <w:tcMar>
              <w:top w:type="dxa" w:w="80"/>
              <w:left w:type="dxa" w:w="120"/>
              <w:bottom w:type="dxa" w:w="80"/>
              <w:right w:type="dxa" w:w="120"/>
            </w:tcMar>
          </w:tcPr>
          <w:p>
            <w:pPr>
              <w:jc w:val="left"/>
            </w:pPr>
            <w:r>
              <w:rPr>
                <w:b/>
                <w:bCs/>
                <w:color w:val="1A1A1A"/>
                <w:sz w:val="20"/>
                <w:szCs w:val="20"/>
              </w:rPr>
              <w:t xml:space="preserve">Coach feedback / video review</w:t>
            </w:r>
          </w:p>
        </w:tc>
        <w:tc>
          <w:tcPr>
            <w:tcW w:type="dxa" w:w="2200"/>
            <w:tcBorders>
              <w:top w:val="single" w:color="CCCCCC" w:sz="1"/>
              <w:left w:val="single" w:color="CCCCCC" w:sz="1"/>
              <w:bottom w:val="single" w:color="CCCCCC" w:sz="1"/>
              <w:right w:val="single" w:color="CCCCCC" w:sz="1"/>
            </w:tcBorders>
            <w:shd w:fill="E9F6F1" w:val="clear"/>
            <w:tcMar>
              <w:top w:type="dxa" w:w="80"/>
              <w:left w:type="dxa" w:w="120"/>
              <w:bottom w:type="dxa" w:w="80"/>
              <w:right w:type="dxa" w:w="120"/>
            </w:tcMar>
          </w:tcPr>
          <w:p>
            <w:pPr>
              <w:jc w:val="left"/>
            </w:pPr>
            <w:r>
              <w:rPr>
                <w:b w:val="false"/>
                <w:bCs w:val="false"/>
                <w:color w:val="1A1A1A"/>
                <w:sz w:val="20"/>
                <w:szCs w:val="20"/>
              </w:rPr>
              <w:t xml:space="preserve">—</w:t>
            </w:r>
          </w:p>
        </w:tc>
        <w:tc>
          <w:tcPr>
            <w:tcW w:type="dxa" w:w="2200"/>
            <w:tcBorders>
              <w:top w:val="single" w:color="CCCCCC" w:sz="1"/>
              <w:left w:val="single" w:color="CCCCCC" w:sz="1"/>
              <w:bottom w:val="single" w:color="CCCCCC" w:sz="1"/>
              <w:right w:val="single" w:color="CCCCCC" w:sz="1"/>
            </w:tcBorders>
            <w:shd w:fill="E9F6F1" w:val="clear"/>
            <w:tcMar>
              <w:top w:type="dxa" w:w="80"/>
              <w:left w:type="dxa" w:w="120"/>
              <w:bottom w:type="dxa" w:w="80"/>
              <w:right w:type="dxa" w:w="120"/>
            </w:tcMar>
          </w:tcPr>
          <w:p>
            <w:pPr>
              <w:jc w:val="left"/>
            </w:pPr>
            <w:r>
              <w:rPr>
                <w:b w:val="false"/>
                <w:bCs w:val="false"/>
                <w:color w:val="1A1A1A"/>
                <w:sz w:val="20"/>
                <w:szCs w:val="20"/>
              </w:rPr>
              <w:t xml:space="preserve">—</w:t>
            </w:r>
          </w:p>
        </w:tc>
        <w:tc>
          <w:tcPr>
            <w:tcW w:type="dxa" w:w="2200"/>
            <w:tcBorders>
              <w:top w:val="single" w:color="CCCCCC" w:sz="1"/>
              <w:left w:val="single" w:color="CCCCCC" w:sz="1"/>
              <w:bottom w:val="single" w:color="CCCCCC" w:sz="1"/>
              <w:right w:val="single" w:color="CCCCCC" w:sz="1"/>
            </w:tcBorders>
            <w:shd w:fill="E9F6F1" w:val="clear"/>
            <w:tcMar>
              <w:top w:type="dxa" w:w="80"/>
              <w:left w:type="dxa" w:w="120"/>
              <w:bottom w:type="dxa" w:w="80"/>
              <w:right w:type="dxa" w:w="120"/>
            </w:tcMar>
          </w:tcPr>
          <w:p>
            <w:pPr>
              <w:jc w:val="left"/>
            </w:pPr>
            <w:r>
              <w:rPr>
                <w:b w:val="false"/>
                <w:bCs w:val="false"/>
                <w:color w:val="1A1A1A"/>
                <w:sz w:val="20"/>
                <w:szCs w:val="20"/>
              </w:rPr>
              <w:t xml:space="preserve">Yes</w:t>
            </w:r>
          </w:p>
        </w:tc>
      </w:tr>
      <w:tr>
        <w:tc>
          <w:tcPr>
            <w:tcW w:type="dxa" w:w="2760"/>
            <w:tcBorders>
              <w:top w:val="single" w:color="CCCCCC" w:sz="1"/>
              <w:left w:val="single" w:color="CCCCCC" w:sz="1"/>
              <w:bottom w:val="single" w:color="CCCCCC" w:sz="1"/>
              <w:right w:val="single" w:color="CCCCCC" w:sz="1"/>
            </w:tcBorders>
            <w:shd w:fill="E9F6F1" w:val="clear"/>
            <w:tcMar>
              <w:top w:type="dxa" w:w="80"/>
              <w:left w:type="dxa" w:w="120"/>
              <w:bottom w:type="dxa" w:w="80"/>
              <w:right w:type="dxa" w:w="120"/>
            </w:tcMar>
          </w:tcPr>
          <w:p>
            <w:pPr>
              <w:jc w:val="left"/>
            </w:pPr>
            <w:r>
              <w:rPr>
                <w:b/>
                <w:bCs/>
                <w:color w:val="1A1A1A"/>
                <w:sz w:val="20"/>
                <w:szCs w:val="20"/>
              </w:rPr>
              <w:t xml:space="preserve">Development profile (player card, percentiles)</w:t>
            </w:r>
          </w:p>
        </w:tc>
        <w:tc>
          <w:tcPr>
            <w:tcW w:type="dxa" w:w="2200"/>
            <w:tcBorders>
              <w:top w:val="single" w:color="CCCCCC" w:sz="1"/>
              <w:left w:val="single" w:color="CCCCCC" w:sz="1"/>
              <w:bottom w:val="single" w:color="CCCCCC" w:sz="1"/>
              <w:right w:val="single" w:color="CCCCCC" w:sz="1"/>
            </w:tcBorders>
            <w:shd w:fill="E9F6F1" w:val="clear"/>
            <w:tcMar>
              <w:top w:type="dxa" w:w="80"/>
              <w:left w:type="dxa" w:w="120"/>
              <w:bottom w:type="dxa" w:w="80"/>
              <w:right w:type="dxa" w:w="120"/>
            </w:tcMar>
          </w:tcPr>
          <w:p>
            <w:pPr>
              <w:jc w:val="left"/>
            </w:pPr>
            <w:r>
              <w:rPr>
                <w:b w:val="false"/>
                <w:bCs w:val="false"/>
                <w:color w:val="1A1A1A"/>
                <w:sz w:val="20"/>
                <w:szCs w:val="20"/>
              </w:rPr>
              <w:t xml:space="preserve">—</w:t>
            </w:r>
          </w:p>
        </w:tc>
        <w:tc>
          <w:tcPr>
            <w:tcW w:type="dxa" w:w="2200"/>
            <w:tcBorders>
              <w:top w:val="single" w:color="CCCCCC" w:sz="1"/>
              <w:left w:val="single" w:color="CCCCCC" w:sz="1"/>
              <w:bottom w:val="single" w:color="CCCCCC" w:sz="1"/>
              <w:right w:val="single" w:color="CCCCCC" w:sz="1"/>
            </w:tcBorders>
            <w:shd w:fill="E9F6F1" w:val="clear"/>
            <w:tcMar>
              <w:top w:type="dxa" w:w="80"/>
              <w:left w:type="dxa" w:w="120"/>
              <w:bottom w:type="dxa" w:w="80"/>
              <w:right w:type="dxa" w:w="120"/>
            </w:tcMar>
          </w:tcPr>
          <w:p>
            <w:pPr>
              <w:jc w:val="left"/>
            </w:pPr>
            <w:r>
              <w:rPr>
                <w:b w:val="false"/>
                <w:bCs w:val="false"/>
                <w:color w:val="1A1A1A"/>
                <w:sz w:val="20"/>
                <w:szCs w:val="20"/>
              </w:rPr>
              <w:t xml:space="preserve">—</w:t>
            </w:r>
          </w:p>
        </w:tc>
        <w:tc>
          <w:tcPr>
            <w:tcW w:type="dxa" w:w="2200"/>
            <w:tcBorders>
              <w:top w:val="single" w:color="CCCCCC" w:sz="1"/>
              <w:left w:val="single" w:color="CCCCCC" w:sz="1"/>
              <w:bottom w:val="single" w:color="CCCCCC" w:sz="1"/>
              <w:right w:val="single" w:color="CCCCCC" w:sz="1"/>
            </w:tcBorders>
            <w:shd w:fill="E9F6F1" w:val="clear"/>
            <w:tcMar>
              <w:top w:type="dxa" w:w="80"/>
              <w:left w:type="dxa" w:w="120"/>
              <w:bottom w:type="dxa" w:w="80"/>
              <w:right w:type="dxa" w:w="120"/>
            </w:tcMar>
          </w:tcPr>
          <w:p>
            <w:pPr>
              <w:jc w:val="left"/>
            </w:pPr>
            <w:r>
              <w:rPr>
                <w:b w:val="false"/>
                <w:bCs w:val="false"/>
                <w:color w:val="1A1A1A"/>
                <w:sz w:val="20"/>
                <w:szCs w:val="20"/>
              </w:rPr>
              <w:t xml:space="preserve">Yes</w:t>
            </w:r>
          </w:p>
        </w:tc>
      </w:tr>
      <w:tr>
        <w:tc>
          <w:tcPr>
            <w:tcW w:type="dxa" w:w="2760"/>
            <w:tcBorders>
              <w:top w:val="single" w:color="CCCCCC" w:sz="1"/>
              <w:left w:val="single" w:color="CCCCCC" w:sz="1"/>
              <w:bottom w:val="single" w:color="CCCCCC" w:sz="1"/>
              <w:right w:val="single" w:color="CCCCCC" w:sz="1"/>
            </w:tcBorders>
            <w:shd w:fill="E9F6F1" w:val="clear"/>
            <w:tcMar>
              <w:top w:type="dxa" w:w="80"/>
              <w:left w:type="dxa" w:w="120"/>
              <w:bottom w:type="dxa" w:w="80"/>
              <w:right w:type="dxa" w:w="120"/>
            </w:tcMar>
          </w:tcPr>
          <w:p>
            <w:pPr>
              <w:jc w:val="left"/>
            </w:pPr>
            <w:r>
              <w:rPr>
                <w:b/>
                <w:bCs/>
                <w:color w:val="1A1A1A"/>
                <w:sz w:val="20"/>
                <w:szCs w:val="20"/>
              </w:rPr>
              <w:t xml:space="preserve">Pathway-shareable report</w:t>
            </w:r>
          </w:p>
        </w:tc>
        <w:tc>
          <w:tcPr>
            <w:tcW w:type="dxa" w:w="2200"/>
            <w:tcBorders>
              <w:top w:val="single" w:color="CCCCCC" w:sz="1"/>
              <w:left w:val="single" w:color="CCCCCC" w:sz="1"/>
              <w:bottom w:val="single" w:color="CCCCCC" w:sz="1"/>
              <w:right w:val="single" w:color="CCCCCC" w:sz="1"/>
            </w:tcBorders>
            <w:shd w:fill="E9F6F1" w:val="clear"/>
            <w:tcMar>
              <w:top w:type="dxa" w:w="80"/>
              <w:left w:type="dxa" w:w="120"/>
              <w:bottom w:type="dxa" w:w="80"/>
              <w:right w:type="dxa" w:w="120"/>
            </w:tcMar>
          </w:tcPr>
          <w:p>
            <w:pPr>
              <w:jc w:val="left"/>
            </w:pPr>
            <w:r>
              <w:rPr>
                <w:b w:val="false"/>
                <w:bCs w:val="false"/>
                <w:color w:val="1A1A1A"/>
                <w:sz w:val="20"/>
                <w:szCs w:val="20"/>
              </w:rPr>
              <w:t xml:space="preserve">—</w:t>
            </w:r>
          </w:p>
        </w:tc>
        <w:tc>
          <w:tcPr>
            <w:tcW w:type="dxa" w:w="2200"/>
            <w:tcBorders>
              <w:top w:val="single" w:color="CCCCCC" w:sz="1"/>
              <w:left w:val="single" w:color="CCCCCC" w:sz="1"/>
              <w:bottom w:val="single" w:color="CCCCCC" w:sz="1"/>
              <w:right w:val="single" w:color="CCCCCC" w:sz="1"/>
            </w:tcBorders>
            <w:shd w:fill="E9F6F1" w:val="clear"/>
            <w:tcMar>
              <w:top w:type="dxa" w:w="80"/>
              <w:left w:type="dxa" w:w="120"/>
              <w:bottom w:type="dxa" w:w="80"/>
              <w:right w:type="dxa" w:w="120"/>
            </w:tcMar>
          </w:tcPr>
          <w:p>
            <w:pPr>
              <w:jc w:val="left"/>
            </w:pPr>
            <w:r>
              <w:rPr>
                <w:b w:val="false"/>
                <w:bCs w:val="false"/>
                <w:color w:val="1A1A1A"/>
                <w:sz w:val="20"/>
                <w:szCs w:val="20"/>
              </w:rPr>
              <w:t xml:space="preserve">—</w:t>
            </w:r>
          </w:p>
        </w:tc>
        <w:tc>
          <w:tcPr>
            <w:tcW w:type="dxa" w:w="2200"/>
            <w:tcBorders>
              <w:top w:val="single" w:color="CCCCCC" w:sz="1"/>
              <w:left w:val="single" w:color="CCCCCC" w:sz="1"/>
              <w:bottom w:val="single" w:color="CCCCCC" w:sz="1"/>
              <w:right w:val="single" w:color="CCCCCC" w:sz="1"/>
            </w:tcBorders>
            <w:shd w:fill="E9F6F1" w:val="clear"/>
            <w:tcMar>
              <w:top w:type="dxa" w:w="80"/>
              <w:left w:type="dxa" w:w="120"/>
              <w:bottom w:type="dxa" w:w="80"/>
              <w:right w:type="dxa" w:w="120"/>
            </w:tcMar>
          </w:tcPr>
          <w:p>
            <w:pPr>
              <w:jc w:val="left"/>
            </w:pPr>
            <w:r>
              <w:rPr>
                <w:b w:val="false"/>
                <w:bCs w:val="false"/>
                <w:color w:val="1A1A1A"/>
                <w:sz w:val="20"/>
                <w:szCs w:val="20"/>
              </w:rPr>
              <w:t xml:space="preserve">Yes</w:t>
            </w:r>
          </w:p>
        </w:tc>
      </w:tr>
    </w:tbl>
    <w:p>
      <w:pPr>
        <w:spacing w:after="120"/>
      </w:pPr>
      <w:r>
        <w:rPr>
          <w:b w:val="false"/>
          <w:bCs w:val="false"/>
          <w:i/>
          <w:iCs/>
        </w:rPr>
        <w:t xml:space="preserve">Pricing shown is a proposed starting point (~$9.99 Tier 1, ~$19.99 Tier 2); both tiers carry the 70/30 COLT/club split. Validate price points in the pilot.</w:t>
      </w:r>
    </w:p>
    <w:p>
      <w:pPr>
        <w:pStyle w:val="Heading1"/>
      </w:pPr>
      <w:r>
        <w:t xml:space="preserve">4. The verification engine</w:t>
      </w:r>
    </w:p>
    <w:p>
      <w:pPr>
        <w:spacing w:after="120"/>
      </w:pPr>
      <w:r>
        <w:rPr>
          <w:b w:val="false"/>
          <w:bCs w:val="false"/>
          <w:i w:val="false"/>
          <w:iCs w:val="false"/>
        </w:rPr>
        <w:t xml:space="preserve">Data is only attractive to rep teams, academies and scouts if it is verified and longitudinal — not self-reported XP. The model runs a standardised, basketball-specific benchmark battery on a cycle (e.g. every six weeks), captured by the athlete on video so it scales, with automated counting/timing plus coach sampling for integrity. Scores are reported as percentiles against age and position peers, producing a development curve rather than a single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460"/>
        <w:gridCol w:w="2400"/>
      </w:tblGrid>
      <w:tr>
        <w:trPr>
          <w:tblHeader/>
        </w:trPr>
        <w:tc>
          <w:tcPr>
            <w:tcW w:type="dxa" w:w="2300"/>
            <w:tcBorders>
              <w:top w:val="single" w:color="CCCCCC" w:sz="1"/>
              <w:left w:val="single" w:color="CCCCCC" w:sz="1"/>
              <w:bottom w:val="single" w:color="CCCCCC" w:sz="1"/>
              <w:right w:val="single" w:color="CCCCCC" w:sz="1"/>
            </w:tcBorders>
            <w:shd w:fill="26215C" w:val="clear"/>
            <w:tcMar>
              <w:top w:type="dxa" w:w="80"/>
              <w:left w:type="dxa" w:w="120"/>
              <w:bottom w:type="dxa" w:w="80"/>
              <w:right w:type="dxa" w:w="120"/>
            </w:tcMar>
          </w:tcPr>
          <w:p>
            <w:pPr>
              <w:jc w:val="left"/>
            </w:pPr>
            <w:r>
              <w:rPr>
                <w:b/>
                <w:bCs/>
                <w:color w:val="FFFFFF"/>
                <w:sz w:val="20"/>
                <w:szCs w:val="20"/>
              </w:rPr>
              <w:t xml:space="preserve">Test</w:t>
            </w:r>
          </w:p>
        </w:tc>
        <w:tc>
          <w:tcPr>
            <w:tcW w:type="dxa" w:w="2200"/>
            <w:tcBorders>
              <w:top w:val="single" w:color="CCCCCC" w:sz="1"/>
              <w:left w:val="single" w:color="CCCCCC" w:sz="1"/>
              <w:bottom w:val="single" w:color="CCCCCC" w:sz="1"/>
              <w:right w:val="single" w:color="CCCCCC" w:sz="1"/>
            </w:tcBorders>
            <w:shd w:fill="26215C" w:val="clear"/>
            <w:tcMar>
              <w:top w:type="dxa" w:w="80"/>
              <w:left w:type="dxa" w:w="120"/>
              <w:bottom w:type="dxa" w:w="80"/>
              <w:right w:type="dxa" w:w="120"/>
            </w:tcMar>
          </w:tcPr>
          <w:p>
            <w:pPr>
              <w:jc w:val="left"/>
            </w:pPr>
            <w:r>
              <w:rPr>
                <w:b/>
                <w:bCs/>
                <w:color w:val="FFFFFF"/>
                <w:sz w:val="20"/>
                <w:szCs w:val="20"/>
              </w:rPr>
              <w:t xml:space="preserve">Metric</w:t>
            </w:r>
          </w:p>
        </w:tc>
        <w:tc>
          <w:tcPr>
            <w:tcW w:type="dxa" w:w="2460"/>
            <w:tcBorders>
              <w:top w:val="single" w:color="CCCCCC" w:sz="1"/>
              <w:left w:val="single" w:color="CCCCCC" w:sz="1"/>
              <w:bottom w:val="single" w:color="CCCCCC" w:sz="1"/>
              <w:right w:val="single" w:color="CCCCCC" w:sz="1"/>
            </w:tcBorders>
            <w:shd w:fill="26215C" w:val="clear"/>
            <w:tcMar>
              <w:top w:type="dxa" w:w="80"/>
              <w:left w:type="dxa" w:w="120"/>
              <w:bottom w:type="dxa" w:w="80"/>
              <w:right w:type="dxa" w:w="120"/>
            </w:tcMar>
          </w:tcPr>
          <w:p>
            <w:pPr>
              <w:jc w:val="left"/>
            </w:pPr>
            <w:r>
              <w:rPr>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26215C" w:val="clear"/>
            <w:tcMar>
              <w:top w:type="dxa" w:w="80"/>
              <w:left w:type="dxa" w:w="120"/>
              <w:bottom w:type="dxa" w:w="80"/>
              <w:right w:type="dxa" w:w="120"/>
            </w:tcMar>
          </w:tcPr>
          <w:p>
            <w:pPr>
              <w:jc w:val="left"/>
            </w:pPr>
            <w:r>
              <w:rPr>
                <w:b/>
                <w:bCs/>
                <w:color w:val="FFFFFF"/>
                <w:sz w:val="20"/>
                <w:szCs w:val="20"/>
              </w:rPr>
              <w:t xml:space="preserve">Verification</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Spot shooting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Makes / 50 (5 spots)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Self-film, fixed setup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Auto-count + coach sample</w:t>
            </w:r>
          </w:p>
        </w:tc>
      </w:tr>
      <w:tr>
        <w:tc>
          <w:tcPr>
            <w:tcW w:type="dxa" w:w="23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b w:val="false"/>
                <w:bCs w:val="false"/>
                <w:color w:val="1A1A1A"/>
                <w:sz w:val="20"/>
                <w:szCs w:val="20"/>
              </w:rPr>
              <w:t xml:space="preserve">Free throws</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b w:val="false"/>
                <w:bCs w:val="false"/>
                <w:color w:val="1A1A1A"/>
                <w:sz w:val="20"/>
                <w:szCs w:val="20"/>
              </w:rPr>
              <w:t xml:space="preserve">Makes / 25</w:t>
            </w:r>
          </w:p>
        </w:tc>
        <w:tc>
          <w:tcPr>
            <w:tcW w:type="dxa" w:w="24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b w:val="false"/>
                <w:bCs w:val="false"/>
                <w:color w:val="1A1A1A"/>
                <w:sz w:val="20"/>
                <w:szCs w:val="20"/>
              </w:rPr>
              <w:t xml:space="preserve">Self-film</w:t>
            </w:r>
          </w:p>
        </w:tc>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b w:val="false"/>
                <w:bCs w:val="false"/>
                <w:color w:val="1A1A1A"/>
                <w:sz w:val="20"/>
                <w:szCs w:val="20"/>
              </w:rPr>
              <w:t xml:space="preserve">Auto-count + coach sample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Dribble course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Time (s)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Self-film, cone layout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Timed clip review</w:t>
            </w:r>
          </w:p>
        </w:tc>
      </w:tr>
      <w:tr>
        <w:tc>
          <w:tcPr>
            <w:tcW w:type="dxa" w:w="23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b w:val="false"/>
                <w:bCs w:val="false"/>
                <w:color w:val="1A1A1A"/>
                <w:sz w:val="20"/>
                <w:szCs w:val="20"/>
              </w:rPr>
              <w:t xml:space="preserve">3/4 court sprint</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b w:val="false"/>
                <w:bCs w:val="false"/>
                <w:color w:val="1A1A1A"/>
                <w:sz w:val="20"/>
                <w:szCs w:val="20"/>
              </w:rPr>
              <w:t xml:space="preserve">Time (s)</w:t>
            </w:r>
          </w:p>
        </w:tc>
        <w:tc>
          <w:tcPr>
            <w:tcW w:type="dxa" w:w="24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b w:val="false"/>
                <w:bCs w:val="false"/>
                <w:color w:val="1A1A1A"/>
                <w:sz w:val="20"/>
                <w:szCs w:val="20"/>
              </w:rPr>
              <w:t xml:space="preserve">Self-film / timer</w:t>
            </w:r>
          </w:p>
        </w:tc>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b w:val="false"/>
                <w:bCs w:val="false"/>
                <w:color w:val="1A1A1A"/>
                <w:sz w:val="20"/>
                <w:szCs w:val="20"/>
              </w:rPr>
              <w:t xml:space="preserve">Timed clip review</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Lane agility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Time (s)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Self-film, cone layout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Timed clip review</w:t>
            </w:r>
          </w:p>
        </w:tc>
      </w:tr>
      <w:tr>
        <w:tc>
          <w:tcPr>
            <w:tcW w:type="dxa" w:w="23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b w:val="false"/>
                <w:bCs w:val="false"/>
                <w:color w:val="1A1A1A"/>
                <w:sz w:val="20"/>
                <w:szCs w:val="20"/>
              </w:rPr>
              <w:t xml:space="preserve">Standing vertical</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b w:val="false"/>
                <w:bCs w:val="false"/>
                <w:color w:val="1A1A1A"/>
                <w:sz w:val="20"/>
                <w:szCs w:val="20"/>
              </w:rPr>
              <w:t xml:space="preserve">Max touch (cm)</w:t>
            </w:r>
          </w:p>
        </w:tc>
        <w:tc>
          <w:tcPr>
            <w:tcW w:type="dxa" w:w="24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b w:val="false"/>
                <w:bCs w:val="false"/>
                <w:color w:val="1A1A1A"/>
                <w:sz w:val="20"/>
                <w:szCs w:val="20"/>
              </w:rPr>
              <w:t xml:space="preserve">Self-film vs wall marker</w:t>
            </w:r>
          </w:p>
        </w:tc>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b w:val="false"/>
                <w:bCs w:val="false"/>
                <w:color w:val="1A1A1A"/>
                <w:sz w:val="20"/>
                <w:szCs w:val="20"/>
              </w:rPr>
              <w:t xml:space="preserve">Marker calibration</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Target passing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Makes / 20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Self-film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Auto-count + coach sample</w:t>
            </w:r>
          </w:p>
        </w:tc>
      </w:tr>
      <w:tr>
        <w:tc>
          <w:tcPr>
            <w:tcW w:type="dxa" w:w="2300"/>
            <w:tcBorders>
              <w:top w:val="single" w:color="CCCCCC" w:sz="1"/>
              <w:left w:val="single" w:color="CCCCCC" w:sz="1"/>
              <w:bottom w:val="single" w:color="CCCCCC" w:sz="1"/>
              <w:right w:val="single" w:color="CCCCCC" w:sz="1"/>
            </w:tcBorders>
            <w:shd w:fill="E9F6F1" w:val="clear"/>
            <w:tcMar>
              <w:top w:type="dxa" w:w="80"/>
              <w:left w:type="dxa" w:w="120"/>
              <w:bottom w:type="dxa" w:w="80"/>
              <w:right w:type="dxa" w:w="120"/>
            </w:tcMar>
          </w:tcPr>
          <w:p>
            <w:pPr>
              <w:jc w:val="left"/>
            </w:pPr>
            <w:r>
              <w:rPr>
                <w:b w:val="false"/>
                <w:bCs w:val="false"/>
                <w:color w:val="1A1A1A"/>
                <w:sz w:val="20"/>
                <w:szCs w:val="20"/>
              </w:rPr>
              <w:t xml:space="preserve">Technique grades</w:t>
            </w:r>
          </w:p>
        </w:tc>
        <w:tc>
          <w:tcPr>
            <w:tcW w:type="dxa" w:w="2200"/>
            <w:tcBorders>
              <w:top w:val="single" w:color="CCCCCC" w:sz="1"/>
              <w:left w:val="single" w:color="CCCCCC" w:sz="1"/>
              <w:bottom w:val="single" w:color="CCCCCC" w:sz="1"/>
              <w:right w:val="single" w:color="CCCCCC" w:sz="1"/>
            </w:tcBorders>
            <w:shd w:fill="E9F6F1" w:val="clear"/>
            <w:tcMar>
              <w:top w:type="dxa" w:w="80"/>
              <w:left w:type="dxa" w:w="120"/>
              <w:bottom w:type="dxa" w:w="80"/>
              <w:right w:type="dxa" w:w="120"/>
            </w:tcMar>
          </w:tcPr>
          <w:p>
            <w:pPr>
              <w:jc w:val="left"/>
            </w:pPr>
            <w:r>
              <w:rPr>
                <w:b w:val="false"/>
                <w:bCs w:val="false"/>
                <w:color w:val="1A1A1A"/>
                <w:sz w:val="20"/>
                <w:szCs w:val="20"/>
              </w:rPr>
              <w:t xml:space="preserve">Coach 1–5 scale</w:t>
            </w:r>
          </w:p>
        </w:tc>
        <w:tc>
          <w:tcPr>
            <w:tcW w:type="dxa" w:w="2460"/>
            <w:tcBorders>
              <w:top w:val="single" w:color="CCCCCC" w:sz="1"/>
              <w:left w:val="single" w:color="CCCCCC" w:sz="1"/>
              <w:bottom w:val="single" w:color="CCCCCC" w:sz="1"/>
              <w:right w:val="single" w:color="CCCCCC" w:sz="1"/>
            </w:tcBorders>
            <w:shd w:fill="E9F6F1" w:val="clear"/>
            <w:tcMar>
              <w:top w:type="dxa" w:w="80"/>
              <w:left w:type="dxa" w:w="120"/>
              <w:bottom w:type="dxa" w:w="80"/>
              <w:right w:type="dxa" w:w="120"/>
            </w:tcMar>
          </w:tcPr>
          <w:p>
            <w:pPr>
              <w:jc w:val="left"/>
            </w:pPr>
            <w:r>
              <w:rPr>
                <w:b w:val="false"/>
                <w:bCs w:val="false"/>
                <w:color w:val="1A1A1A"/>
                <w:sz w:val="20"/>
                <w:szCs w:val="20"/>
              </w:rPr>
              <w:t xml:space="preserve">Coach reviews submitted clips</w:t>
            </w:r>
          </w:p>
        </w:tc>
        <w:tc>
          <w:tcPr>
            <w:tcW w:type="dxa" w:w="2400"/>
            <w:tcBorders>
              <w:top w:val="single" w:color="CCCCCC" w:sz="1"/>
              <w:left w:val="single" w:color="CCCCCC" w:sz="1"/>
              <w:bottom w:val="single" w:color="CCCCCC" w:sz="1"/>
              <w:right w:val="single" w:color="CCCCCC" w:sz="1"/>
            </w:tcBorders>
            <w:shd w:fill="E9F6F1" w:val="clear"/>
            <w:tcMar>
              <w:top w:type="dxa" w:w="80"/>
              <w:left w:type="dxa" w:w="120"/>
              <w:bottom w:type="dxa" w:w="80"/>
              <w:right w:type="dxa" w:w="120"/>
            </w:tcMar>
          </w:tcPr>
          <w:p>
            <w:pPr>
              <w:jc w:val="left"/>
            </w:pPr>
            <w:r>
              <w:rPr>
                <w:b w:val="false"/>
                <w:bCs w:val="false"/>
                <w:color w:val="1A1A1A"/>
                <w:sz w:val="20"/>
                <w:szCs w:val="20"/>
              </w:rPr>
              <w:t xml:space="preserve">Coach attestation (T2)</w:t>
            </w:r>
          </w:p>
        </w:tc>
      </w:tr>
    </w:tbl>
    <w:p>
      <w:pPr>
        <w:spacing w:after="120"/>
      </w:pPr>
      <w:r>
        <w:rPr>
          <w:b w:val="false"/>
          <w:bCs w:val="false"/>
          <w:i/>
          <w:iCs/>
        </w:rPr>
        <w:t xml:space="preserve">Output: a verified development profile (player card) showing trend lines, peer percentiles and coach attestation — the durable asset and the reason the next squad of parents signs up. The wedge worth prototyping is video-based capture so verification scales without a coach grading every rep.</w:t>
      </w:r>
    </w:p>
    <w:p>
      <w:pPr>
        <w:pStyle w:val="Heading1"/>
      </w:pPr>
      <w:r>
        <w:t xml:space="preserve">5. Unit economics (illustrative)</w:t>
      </w:r>
    </w:p>
    <w:p>
      <w:pPr>
        <w:spacing w:after="120"/>
      </w:pPr>
      <w:r>
        <w:rPr>
          <w:b w:val="false"/>
          <w:bCs w:val="false"/>
          <w:i w:val="false"/>
          <w:iCs w:val="false"/>
        </w:rPr>
        <w:t xml:space="preserve">A single pilot club, sized at 200 engaged athletes, with conservative conversion assumptions. These percentages are the hypotheses the pilot exists to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CCCCCC" w:sz="1"/>
              <w:left w:val="single" w:color="CCCCCC" w:sz="1"/>
              <w:bottom w:val="single" w:color="CCCCCC" w:sz="1"/>
              <w:right w:val="single" w:color="CCCCCC" w:sz="1"/>
            </w:tcBorders>
            <w:shd w:fill="26215C" w:val="clear"/>
            <w:tcMar>
              <w:top w:type="dxa" w:w="80"/>
              <w:left w:type="dxa" w:w="120"/>
              <w:bottom w:type="dxa" w:w="80"/>
              <w:right w:type="dxa" w:w="120"/>
            </w:tcMar>
          </w:tcPr>
          <w:p>
            <w:pPr>
              <w:jc w:val="left"/>
            </w:pPr>
            <w:r>
              <w:rPr>
                <w:b/>
                <w:bCs/>
                <w:color w:val="FFFFFF"/>
                <w:sz w:val="20"/>
                <w:szCs w:val="20"/>
              </w:rPr>
              <w:t xml:space="preserve">Item (illustrative, per 200 engaged athletes)</w:t>
            </w:r>
          </w:p>
        </w:tc>
        <w:tc>
          <w:tcPr>
            <w:tcW w:type="dxa" w:w="3600"/>
            <w:tcBorders>
              <w:top w:val="single" w:color="CCCCCC" w:sz="1"/>
              <w:left w:val="single" w:color="CCCCCC" w:sz="1"/>
              <w:bottom w:val="single" w:color="CCCCCC" w:sz="1"/>
              <w:right w:val="single" w:color="CCCCCC" w:sz="1"/>
            </w:tcBorders>
            <w:shd w:fill="26215C" w:val="clear"/>
            <w:tcMar>
              <w:top w:type="dxa" w:w="80"/>
              <w:left w:type="dxa" w:w="120"/>
              <w:bottom w:type="dxa" w:w="80"/>
              <w:right w:type="dxa" w:w="120"/>
            </w:tcMar>
          </w:tcPr>
          <w:p>
            <w:pPr>
              <w:jc w:val="left"/>
            </w:pPr>
            <w:r>
              <w:rPr>
                <w:b/>
                <w:bCs/>
                <w:color w:val="FFFFFF"/>
                <w:sz w:val="20"/>
                <w:szCs w:val="20"/>
              </w:rPr>
              <w:t xml:space="preserve">Value</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A1A1A"/>
                <w:sz w:val="20"/>
                <w:szCs w:val="20"/>
              </w:rPr>
              <w:t xml:space="preserve">Free users (full squad base)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200</w:t>
            </w:r>
          </w:p>
        </w:tc>
      </w:tr>
      <w:tr>
        <w:tc>
          <w:tcPr>
            <w:tcW w:type="dxa" w:w="5760"/>
            <w:tcBorders>
              <w:top w:val="single" w:color="CCCCCC" w:sz="1"/>
              <w:left w:val="single" w:color="CCCCCC" w:sz="1"/>
              <w:bottom w:val="single" w:color="CCCCCC" w:sz="1"/>
              <w:right w:val="single" w:color="CCCCCC" w:sz="1"/>
            </w:tcBorders>
            <w:shd w:fill="F2F1FB" w:val="clear"/>
            <w:tcMar>
              <w:top w:type="dxa" w:w="80"/>
              <w:left w:type="dxa" w:w="120"/>
              <w:bottom w:type="dxa" w:w="80"/>
              <w:right w:type="dxa" w:w="120"/>
            </w:tcMar>
          </w:tcPr>
          <w:p>
            <w:pPr>
              <w:jc w:val="left"/>
            </w:pPr>
            <w:r>
              <w:rPr>
                <w:b/>
                <w:bCs/>
                <w:color w:val="1A1A1A"/>
                <w:sz w:val="20"/>
                <w:szCs w:val="20"/>
              </w:rPr>
              <w:t xml:space="preserve">Tier 1 conversion @ 15%  →  $9.99/mo</w:t>
            </w:r>
          </w:p>
        </w:tc>
        <w:tc>
          <w:tcPr>
            <w:tcW w:type="dxa" w:w="3600"/>
            <w:tcBorders>
              <w:top w:val="single" w:color="CCCCCC" w:sz="1"/>
              <w:left w:val="single" w:color="CCCCCC" w:sz="1"/>
              <w:bottom w:val="single" w:color="CCCCCC" w:sz="1"/>
              <w:right w:val="single" w:color="CCCCCC" w:sz="1"/>
            </w:tcBorders>
            <w:shd w:fill="F2F1FB" w:val="clear"/>
            <w:tcMar>
              <w:top w:type="dxa" w:w="80"/>
              <w:left w:type="dxa" w:w="120"/>
              <w:bottom w:type="dxa" w:w="80"/>
              <w:right w:type="dxa" w:w="120"/>
            </w:tcMar>
          </w:tcPr>
          <w:p>
            <w:pPr>
              <w:jc w:val="left"/>
            </w:pPr>
            <w:r>
              <w:rPr>
                <w:b w:val="false"/>
                <w:bCs w:val="false"/>
                <w:color w:val="1A1A1A"/>
                <w:sz w:val="20"/>
                <w:szCs w:val="20"/>
              </w:rPr>
              <w:t xml:space="preserve">30 × $9.99 = $299.70/mo</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A1A1A"/>
                <w:sz w:val="20"/>
                <w:szCs w:val="20"/>
              </w:rPr>
              <w:t xml:space="preserve">Tier 2 conversion @ 5%  →  $19.99/mo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10 × $19.99 = $199.90/mo</w:t>
            </w:r>
          </w:p>
        </w:tc>
      </w:tr>
      <w:tr>
        <w:tc>
          <w:tcPr>
            <w:tcW w:type="dxa" w:w="5760"/>
            <w:tcBorders>
              <w:top w:val="single" w:color="CCCCCC" w:sz="1"/>
              <w:left w:val="single" w:color="CCCCCC" w:sz="1"/>
              <w:bottom w:val="single" w:color="CCCCCC" w:sz="1"/>
              <w:right w:val="single" w:color="CCCCCC" w:sz="1"/>
            </w:tcBorders>
            <w:shd w:fill="F2F1FB" w:val="clear"/>
            <w:tcMar>
              <w:top w:type="dxa" w:w="80"/>
              <w:left w:type="dxa" w:w="120"/>
              <w:bottom w:type="dxa" w:w="80"/>
              <w:right w:type="dxa" w:w="120"/>
            </w:tcMar>
          </w:tcPr>
          <w:p>
            <w:pPr>
              <w:jc w:val="left"/>
            </w:pPr>
            <w:r>
              <w:rPr>
                <w:b/>
                <w:bCs/>
                <w:color w:val="1A1A1A"/>
                <w:sz w:val="20"/>
                <w:szCs w:val="20"/>
              </w:rPr>
              <w:t xml:space="preserve">Gross MRR</w:t>
            </w:r>
          </w:p>
        </w:tc>
        <w:tc>
          <w:tcPr>
            <w:tcW w:type="dxa" w:w="3600"/>
            <w:tcBorders>
              <w:top w:val="single" w:color="CCCCCC" w:sz="1"/>
              <w:left w:val="single" w:color="CCCCCC" w:sz="1"/>
              <w:bottom w:val="single" w:color="CCCCCC" w:sz="1"/>
              <w:right w:val="single" w:color="CCCCCC" w:sz="1"/>
            </w:tcBorders>
            <w:shd w:fill="F2F1FB" w:val="clear"/>
            <w:tcMar>
              <w:top w:type="dxa" w:w="80"/>
              <w:left w:type="dxa" w:w="120"/>
              <w:bottom w:type="dxa" w:w="80"/>
              <w:right w:type="dxa" w:w="120"/>
            </w:tcMar>
          </w:tcPr>
          <w:p>
            <w:pPr>
              <w:jc w:val="left"/>
            </w:pPr>
            <w:r>
              <w:rPr>
                <w:b w:val="false"/>
                <w:bCs w:val="false"/>
                <w:color w:val="1A1A1A"/>
                <w:sz w:val="20"/>
                <w:szCs w:val="20"/>
              </w:rPr>
              <w:t xml:space="preserve">$499.60</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A1A1A"/>
                <w:sz w:val="20"/>
                <w:szCs w:val="20"/>
              </w:rPr>
              <w:t xml:space="preserve">Gross annual revenue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$5,995</w:t>
            </w:r>
          </w:p>
        </w:tc>
      </w:tr>
      <w:tr>
        <w:tc>
          <w:tcPr>
            <w:tcW w:type="dxa" w:w="5760"/>
            <w:tcBorders>
              <w:top w:val="single" w:color="CCCCCC" w:sz="1"/>
              <w:left w:val="single" w:color="CCCCCC" w:sz="1"/>
              <w:bottom w:val="single" w:color="CCCCCC" w:sz="1"/>
              <w:right w:val="single" w:color="CCCCCC" w:sz="1"/>
            </w:tcBorders>
            <w:shd w:fill="E9F6F1" w:val="clear"/>
            <w:tcMar>
              <w:top w:type="dxa" w:w="80"/>
              <w:left w:type="dxa" w:w="120"/>
              <w:bottom w:type="dxa" w:w="80"/>
              <w:right w:type="dxa" w:w="120"/>
            </w:tcMar>
          </w:tcPr>
          <w:p>
            <w:pPr>
              <w:jc w:val="left"/>
            </w:pPr>
            <w:r>
              <w:rPr>
                <w:b/>
                <w:bCs/>
                <w:color w:val="1A1A1A"/>
                <w:sz w:val="20"/>
                <w:szCs w:val="20"/>
              </w:rPr>
              <w:t xml:space="preserve">COLT share (70%)</w:t>
            </w:r>
          </w:p>
        </w:tc>
        <w:tc>
          <w:tcPr>
            <w:tcW w:type="dxa" w:w="3600"/>
            <w:tcBorders>
              <w:top w:val="single" w:color="CCCCCC" w:sz="1"/>
              <w:left w:val="single" w:color="CCCCCC" w:sz="1"/>
              <w:bottom w:val="single" w:color="CCCCCC" w:sz="1"/>
              <w:right w:val="single" w:color="CCCCCC" w:sz="1"/>
            </w:tcBorders>
            <w:shd w:fill="E9F6F1" w:val="clear"/>
            <w:tcMar>
              <w:top w:type="dxa" w:w="80"/>
              <w:left w:type="dxa" w:w="120"/>
              <w:bottom w:type="dxa" w:w="80"/>
              <w:right w:type="dxa" w:w="120"/>
            </w:tcMar>
          </w:tcPr>
          <w:p>
            <w:pPr>
              <w:jc w:val="left"/>
            </w:pPr>
            <w:r>
              <w:rPr>
                <w:b w:val="false"/>
                <w:bCs w:val="false"/>
                <w:color w:val="1A1A1A"/>
                <w:sz w:val="20"/>
                <w:szCs w:val="20"/>
              </w:rPr>
              <w:t xml:space="preserve">≈ $4,197 / yr</w:t>
            </w:r>
          </w:p>
        </w:tc>
      </w:tr>
      <w:tr>
        <w:tc>
          <w:tcPr>
            <w:tcW w:type="dxa" w:w="5760"/>
            <w:tcBorders>
              <w:top w:val="single" w:color="CCCCCC" w:sz="1"/>
              <w:left w:val="single" w:color="CCCCCC" w:sz="1"/>
              <w:bottom w:val="single" w:color="CCCCCC" w:sz="1"/>
              <w:right w:val="single" w:color="CCCCCC" w:sz="1"/>
            </w:tcBorders>
            <w:shd w:fill="E9F6F1" w:val="clear"/>
            <w:tcMar>
              <w:top w:type="dxa" w:w="80"/>
              <w:left w:type="dxa" w:w="120"/>
              <w:bottom w:type="dxa" w:w="80"/>
              <w:right w:type="dxa" w:w="120"/>
            </w:tcMar>
          </w:tcPr>
          <w:p>
            <w:pPr>
              <w:jc w:val="left"/>
            </w:pPr>
            <w:r>
              <w:rPr>
                <w:b/>
                <w:bCs/>
                <w:color w:val="1A1A1A"/>
                <w:sz w:val="20"/>
                <w:szCs w:val="20"/>
              </w:rPr>
              <w:t xml:space="preserve">Club share (30%)</w:t>
            </w:r>
          </w:p>
        </w:tc>
        <w:tc>
          <w:tcPr>
            <w:tcW w:type="dxa" w:w="3600"/>
            <w:tcBorders>
              <w:top w:val="single" w:color="CCCCCC" w:sz="1"/>
              <w:left w:val="single" w:color="CCCCCC" w:sz="1"/>
              <w:bottom w:val="single" w:color="CCCCCC" w:sz="1"/>
              <w:right w:val="single" w:color="CCCCCC" w:sz="1"/>
            </w:tcBorders>
            <w:shd w:fill="E9F6F1" w:val="clear"/>
            <w:tcMar>
              <w:top w:type="dxa" w:w="80"/>
              <w:left w:type="dxa" w:w="120"/>
              <w:bottom w:type="dxa" w:w="80"/>
              <w:right w:type="dxa" w:w="120"/>
            </w:tcMar>
          </w:tcPr>
          <w:p>
            <w:pPr>
              <w:jc w:val="left"/>
            </w:pPr>
            <w:r>
              <w:rPr>
                <w:b w:val="false"/>
                <w:bCs w:val="false"/>
                <w:color w:val="1A1A1A"/>
                <w:sz w:val="20"/>
                <w:szCs w:val="20"/>
              </w:rPr>
              <w:t xml:space="preserve">≈ $1,799 / yr</w:t>
            </w:r>
          </w:p>
        </w:tc>
      </w:tr>
    </w:tbl>
    <w:p>
      <w:pPr>
        <w:spacing w:after="120"/>
      </w:pPr>
      <w:r>
        <w:rPr>
          <w:b w:val="false"/>
          <w:bCs w:val="false"/>
          <w:i/>
          <w:iCs/>
        </w:rPr>
        <w:t xml:space="preserve">Sensitivity: the model is most sensitive to Tier 1 conversion and to the Tier 1→Tier 2 upgrade rate. Doubling T2 uptake roughly doubles per-club revenue, which is why the personal-coach tier matters disproportionately.</w:t>
      </w:r>
    </w:p>
    <w:p>
      <w:pPr>
        <w:pStyle w:val="Heading1"/>
      </w:pPr>
      <w:r>
        <w:t xml:space="preserve">6. The pilot setup</w:t>
      </w:r>
    </w:p>
    <w:p>
      <w:pPr>
        <w:pStyle w:val="Heading2"/>
      </w:pPr>
      <w:r>
        <w:t xml:space="preserve">Target club profile</w:t>
      </w:r>
    </w:p>
    <w:p>
      <w:pPr>
        <w:pStyle w:val="ListParagraph"/>
        <w:numPr>
          <w:ilvl w:val="0"/>
          <w:numId w:val="2"/>
        </w:numPr>
        <w:spacing w:after="60"/>
      </w:pPr>
      <w:r>
        <w:t xml:space="preserve">One QLD basketball club/association with an engaged junior base (target ~150–250 athletes).</w:t>
      </w:r>
    </w:p>
    <w:p>
      <w:pPr>
        <w:pStyle w:val="ListParagraph"/>
        <w:numPr>
          <w:ilvl w:val="0"/>
          <w:numId w:val="2"/>
        </w:numPr>
        <w:spacing w:after="60"/>
      </w:pPr>
      <w:r>
        <w:t xml:space="preserve">A committee willing to actively promote the app to families (the 30% share is the incentive).</w:t>
      </w:r>
    </w:p>
    <w:p>
      <w:pPr>
        <w:pStyle w:val="ListParagraph"/>
        <w:numPr>
          <w:ilvl w:val="0"/>
          <w:numId w:val="2"/>
        </w:numPr>
        <w:spacing w:after="60"/>
      </w:pPr>
      <w:r>
        <w:t xml:space="preserve">A mix of ages/levels so benchmark percentiles have a meaningful peer set.</w:t>
      </w:r>
    </w:p>
    <w:p>
      <w:pPr>
        <w:pStyle w:val="Heading2"/>
      </w:pPr>
      <w:r>
        <w:t xml:space="preserve">The expert coach</w:t>
      </w:r>
    </w:p>
    <w:p>
      <w:pPr>
        <w:pStyle w:val="ListParagraph"/>
        <w:numPr>
          <w:ilvl w:val="0"/>
          <w:numId w:val="2"/>
        </w:numPr>
        <w:spacing w:after="60"/>
      </w:pPr>
      <w:r>
        <w:t xml:space="preserve">One credible development coach (ex-NBL, state program, or a known junior-development specialist) — ideally bringing some of their own audience.</w:t>
      </w:r>
    </w:p>
    <w:p>
      <w:pPr>
        <w:pStyle w:val="ListParagraph"/>
        <w:numPr>
          <w:ilvl w:val="0"/>
          <w:numId w:val="2"/>
        </w:numPr>
        <w:spacing w:after="60"/>
      </w:pPr>
      <w:r>
        <w:t xml:space="preserve">Working With Children Check, child-safe training, and clear safeguarding boundaries (no private 1:1 video or DMs; all contact club-mediated).</w:t>
      </w:r>
    </w:p>
    <w:p>
      <w:pPr>
        <w:pStyle w:val="ListParagraph"/>
        <w:numPr>
          <w:ilvl w:val="0"/>
          <w:numId w:val="2"/>
        </w:numPr>
        <w:spacing w:after="60"/>
      </w:pPr>
      <w:r>
        <w:t xml:space="preserve">Deal terms: exclusivity for the pilot window, a rev-share on Tier 1/2 attributable to their content, and a clear position as </w:t>
      </w:r>
      <w:r>
        <w:rPr>
          <w:b/>
          <w:bCs/>
        </w:rPr>
        <w:t xml:space="preserve">supplier, not competitor</w:t>
      </w:r>
      <w:r>
        <w:t xml:space="preserve"> — COLT owns the parent relationship and the data.</w:t>
      </w:r>
    </w:p>
    <w:p>
      <w:pPr>
        <w:pStyle w:val="Heading1"/>
      </w:pPr>
      <w:r>
        <w:t xml:space="preserve">7. The 90-day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360"/>
      </w:tblGrid>
      <w:tr>
        <w:trPr>
          <w:tblHeader/>
        </w:trPr>
        <w:tc>
          <w:tcPr>
            <w:tcW w:type="dxa" w:w="1700"/>
            <w:tcBorders>
              <w:top w:val="single" w:color="CCCCCC" w:sz="1"/>
              <w:left w:val="single" w:color="CCCCCC" w:sz="1"/>
              <w:bottom w:val="single" w:color="CCCCCC" w:sz="1"/>
              <w:right w:val="single" w:color="CCCCCC" w:sz="1"/>
            </w:tcBorders>
            <w:shd w:fill="26215C" w:val="clear"/>
            <w:tcMar>
              <w:top w:type="dxa" w:w="80"/>
              <w:left w:type="dxa" w:w="120"/>
              <w:bottom w:type="dxa" w:w="80"/>
              <w:right w:type="dxa" w:w="120"/>
            </w:tcMar>
          </w:tcPr>
          <w:p>
            <w:pPr>
              <w:jc w:val="left"/>
            </w:pPr>
            <w:r>
              <w:rPr>
                <w:b/>
                <w:bCs/>
                <w:color w:val="FFFFFF"/>
                <w:sz w:val="20"/>
                <w:szCs w:val="20"/>
              </w:rPr>
              <w:t xml:space="preserve">Weeks</w:t>
            </w:r>
          </w:p>
        </w:tc>
        <w:tc>
          <w:tcPr>
            <w:tcW w:type="dxa" w:w="2300"/>
            <w:tcBorders>
              <w:top w:val="single" w:color="CCCCCC" w:sz="1"/>
              <w:left w:val="single" w:color="CCCCCC" w:sz="1"/>
              <w:bottom w:val="single" w:color="CCCCCC" w:sz="1"/>
              <w:right w:val="single" w:color="CCCCCC" w:sz="1"/>
            </w:tcBorders>
            <w:shd w:fill="26215C" w:val="clear"/>
            <w:tcMar>
              <w:top w:type="dxa" w:w="80"/>
              <w:left w:type="dxa" w:w="120"/>
              <w:bottom w:type="dxa" w:w="80"/>
              <w:right w:type="dxa" w:w="120"/>
            </w:tcMar>
          </w:tcPr>
          <w:p>
            <w:pPr>
              <w:jc w:val="left"/>
            </w:pPr>
            <w:r>
              <w:rPr>
                <w:b/>
                <w:bCs/>
                <w:color w:val="FFFFFF"/>
                <w:sz w:val="20"/>
                <w:szCs w:val="20"/>
              </w:rPr>
              <w:t xml:space="preserve">Focus</w:t>
            </w:r>
          </w:p>
        </w:tc>
        <w:tc>
          <w:tcPr>
            <w:tcW w:type="dxa" w:w="5360"/>
            <w:tcBorders>
              <w:top w:val="single" w:color="CCCCCC" w:sz="1"/>
              <w:left w:val="single" w:color="CCCCCC" w:sz="1"/>
              <w:bottom w:val="single" w:color="CCCCCC" w:sz="1"/>
              <w:right w:val="single" w:color="CCCCCC" w:sz="1"/>
            </w:tcBorders>
            <w:shd w:fill="26215C" w:val="clear"/>
            <w:tcMar>
              <w:top w:type="dxa" w:w="80"/>
              <w:left w:type="dxa" w:w="120"/>
              <w:bottom w:type="dxa" w:w="80"/>
              <w:right w:type="dxa" w:w="120"/>
            </w:tcMar>
          </w:tcPr>
          <w:p>
            <w:pPr>
              <w:jc w:val="left"/>
            </w:pPr>
            <w:r>
              <w:rPr>
                <w:b/>
                <w:bCs/>
                <w:color w:val="FFFFFF"/>
                <w:sz w:val="20"/>
                <w:szCs w:val="20"/>
              </w:rPr>
              <w:t xml:space="preserve">Key activities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A1A1A"/>
                <w:sz w:val="20"/>
                <w:szCs w:val="20"/>
              </w:rPr>
              <w:t xml:space="preserve">0–2</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Set up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Sign 1 club; onboard whole squad on free tier; recruit + vet one expert coach (WWCC, child-safe); run baseline benchmark testing.</w:t>
            </w:r>
          </w:p>
        </w:tc>
      </w:tr>
      <w:tr>
        <w:tc>
          <w:tcPr>
            <w:tcW w:type="dxa" w:w="17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b/>
                <w:bCs/>
                <w:color w:val="1A1A1A"/>
                <w:sz w:val="20"/>
                <w:szCs w:val="20"/>
              </w:rPr>
              <w:t xml:space="preserve">3–6</w:t>
            </w:r>
          </w:p>
        </w:tc>
        <w:tc>
          <w:tcPr>
            <w:tcW w:type="dxa" w:w="23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b w:val="false"/>
                <w:bCs w:val="false"/>
                <w:color w:val="1A1A1A"/>
                <w:sz w:val="20"/>
                <w:szCs w:val="20"/>
              </w:rPr>
              <w:t xml:space="preserve">Build the loop</w:t>
            </w:r>
          </w:p>
        </w:tc>
        <w:tc>
          <w:tcPr>
            <w:tcW w:type="dxa" w:w="53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b w:val="false"/>
                <w:bCs w:val="false"/>
                <w:color w:val="1A1A1A"/>
                <w:sz w:val="20"/>
                <w:szCs w:val="20"/>
              </w:rPr>
              <w:t xml:space="preserve">Drive habit loop (logging, streaks); measure weekly-active %; launch Tier 1 tailored program.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A1A1A"/>
                <w:sz w:val="20"/>
                <w:szCs w:val="20"/>
              </w:rPr>
              <w:t xml:space="preserve">7–10</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Monetise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Open Tier 1 + Tier 2; measure free→paid conversion and T1→T2 upgrade; mid-cycle benchmark retest + first coach feedback.</w:t>
            </w:r>
          </w:p>
        </w:tc>
      </w:tr>
      <w:tr>
        <w:tc>
          <w:tcPr>
            <w:tcW w:type="dxa" w:w="17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b/>
                <w:bCs/>
                <w:color w:val="1A1A1A"/>
                <w:sz w:val="20"/>
                <w:szCs w:val="20"/>
              </w:rPr>
              <w:t xml:space="preserve">11–13</w:t>
            </w:r>
          </w:p>
        </w:tc>
        <w:tc>
          <w:tcPr>
            <w:tcW w:type="dxa" w:w="23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b w:val="false"/>
                <w:bCs w:val="false"/>
                <w:color w:val="1A1A1A"/>
                <w:sz w:val="20"/>
                <w:szCs w:val="20"/>
              </w:rPr>
              <w:t xml:space="preserve">Validate</w:t>
            </w:r>
          </w:p>
        </w:tc>
        <w:tc>
          <w:tcPr>
            <w:tcW w:type="dxa" w:w="53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b w:val="false"/>
                <w:bCs w:val="false"/>
                <w:color w:val="1A1A1A"/>
                <w:sz w:val="20"/>
                <w:szCs w:val="20"/>
              </w:rPr>
              <w:t xml:space="preserve">End-cycle retest; generate development profiles; measure paid retention; gather pathway interest; go/no-go review.</w:t>
            </w:r>
          </w:p>
        </w:tc>
      </w:tr>
    </w:tbl>
    <w:p>
      <w:pPr>
        <w:pStyle w:val="Heading1"/>
      </w:pPr>
      <w:r>
        <w:t xml:space="preserve">8. Metrics &amp; decision gates</w:t>
      </w:r>
    </w:p>
    <w:p>
      <w:pPr>
        <w:spacing w:after="120"/>
      </w:pPr>
      <w:r>
        <w:rPr>
          <w:b w:val="false"/>
          <w:bCs w:val="false"/>
          <w:i w:val="false"/>
          <w:iCs w:val="false"/>
        </w:rPr>
        <w:t xml:space="preserve">One headline number decides the model: of the free squad, what share of parents convert to paid — and of those, how many take Tier 2. Everything else is supporting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CCCCCC" w:sz="1"/>
              <w:left w:val="single" w:color="CCCCCC" w:sz="1"/>
              <w:bottom w:val="single" w:color="CCCCCC" w:sz="1"/>
              <w:right w:val="single" w:color="CCCCCC" w:sz="1"/>
            </w:tcBorders>
            <w:shd w:fill="26215C" w:val="clear"/>
            <w:tcMar>
              <w:top w:type="dxa" w:w="80"/>
              <w:left w:type="dxa" w:w="120"/>
              <w:bottom w:type="dxa" w:w="80"/>
              <w:right w:type="dxa" w:w="120"/>
            </w:tcMar>
          </w:tcPr>
          <w:p>
            <w:pPr>
              <w:jc w:val="left"/>
            </w:pPr>
            <w:r>
              <w:rPr>
                <w:b/>
                <w:bCs/>
                <w:color w:val="FFFFFF"/>
                <w:sz w:val="20"/>
                <w:szCs w:val="20"/>
              </w:rPr>
              <w:t xml:space="preserve">Metric</w:t>
            </w:r>
          </w:p>
        </w:tc>
        <w:tc>
          <w:tcPr>
            <w:tcW w:type="dxa" w:w="3600"/>
            <w:tcBorders>
              <w:top w:val="single" w:color="CCCCCC" w:sz="1"/>
              <w:left w:val="single" w:color="CCCCCC" w:sz="1"/>
              <w:bottom w:val="single" w:color="CCCCCC" w:sz="1"/>
              <w:right w:val="single" w:color="CCCCCC" w:sz="1"/>
            </w:tcBorders>
            <w:shd w:fill="26215C" w:val="clear"/>
            <w:tcMar>
              <w:top w:type="dxa" w:w="80"/>
              <w:left w:type="dxa" w:w="120"/>
              <w:bottom w:type="dxa" w:w="80"/>
              <w:right w:type="dxa" w:w="120"/>
            </w:tcMar>
          </w:tcPr>
          <w:p>
            <w:pPr>
              <w:jc w:val="left"/>
            </w:pPr>
            <w:r>
              <w:rPr>
                <w:b/>
                <w:bCs/>
                <w:color w:val="FFFFFF"/>
                <w:sz w:val="20"/>
                <w:szCs w:val="20"/>
              </w:rPr>
              <w:t xml:space="preserve">Target (illustrative — to calibrate in pilot)</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A1A1A"/>
                <w:sz w:val="20"/>
                <w:szCs w:val="20"/>
              </w:rPr>
              <w:t xml:space="preserve">Free→Tier 1 conversion (north star)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12–15% of engaged athletes</w:t>
            </w:r>
          </w:p>
        </w:tc>
      </w:tr>
      <w:tr>
        <w:tc>
          <w:tcPr>
            <w:tcW w:type="dxa" w:w="5760"/>
            <w:tcBorders>
              <w:top w:val="single" w:color="CCCCCC" w:sz="1"/>
              <w:left w:val="single" w:color="CCCCCC" w:sz="1"/>
              <w:bottom w:val="single" w:color="CCCCCC" w:sz="1"/>
              <w:right w:val="single" w:color="CCCCCC" w:sz="1"/>
            </w:tcBorders>
            <w:shd w:fill="F2F1FB" w:val="clear"/>
            <w:tcMar>
              <w:top w:type="dxa" w:w="80"/>
              <w:left w:type="dxa" w:w="120"/>
              <w:bottom w:type="dxa" w:w="80"/>
              <w:right w:type="dxa" w:w="120"/>
            </w:tcMar>
          </w:tcPr>
          <w:p>
            <w:pPr>
              <w:jc w:val="left"/>
            </w:pPr>
            <w:r>
              <w:rPr>
                <w:b/>
                <w:bCs/>
                <w:color w:val="1A1A1A"/>
                <w:sz w:val="20"/>
                <w:szCs w:val="20"/>
              </w:rPr>
              <w:t xml:space="preserve">Tier 1→Tier 2 upgrade</w:t>
            </w:r>
          </w:p>
        </w:tc>
        <w:tc>
          <w:tcPr>
            <w:tcW w:type="dxa" w:w="3600"/>
            <w:tcBorders>
              <w:top w:val="single" w:color="CCCCCC" w:sz="1"/>
              <w:left w:val="single" w:color="CCCCCC" w:sz="1"/>
              <w:bottom w:val="single" w:color="CCCCCC" w:sz="1"/>
              <w:right w:val="single" w:color="CCCCCC" w:sz="1"/>
            </w:tcBorders>
            <w:shd w:fill="F2F1FB" w:val="clear"/>
            <w:tcMar>
              <w:top w:type="dxa" w:w="80"/>
              <w:left w:type="dxa" w:w="120"/>
              <w:bottom w:type="dxa" w:w="80"/>
              <w:right w:type="dxa" w:w="120"/>
            </w:tcMar>
          </w:tcPr>
          <w:p>
            <w:pPr>
              <w:jc w:val="left"/>
            </w:pPr>
            <w:r>
              <w:rPr>
                <w:b w:val="false"/>
                <w:bCs w:val="false"/>
                <w:color w:val="1A1A1A"/>
                <w:sz w:val="20"/>
                <w:szCs w:val="20"/>
              </w:rPr>
              <w:t xml:space="preserve">≥ 25–30% of Tier 1</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A1A1A"/>
                <w:sz w:val="20"/>
                <w:szCs w:val="20"/>
              </w:rPr>
              <w:t xml:space="preserve">Weekly-active squad members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60% during pilot</w:t>
            </w:r>
          </w:p>
        </w:tc>
      </w:tr>
      <w:tr>
        <w:tc>
          <w:tcPr>
            <w:tcW w:type="dxa" w:w="5760"/>
            <w:tcBorders>
              <w:top w:val="single" w:color="CCCCCC" w:sz="1"/>
              <w:left w:val="single" w:color="CCCCCC" w:sz="1"/>
              <w:bottom w:val="single" w:color="CCCCCC" w:sz="1"/>
              <w:right w:val="single" w:color="CCCCCC" w:sz="1"/>
            </w:tcBorders>
            <w:shd w:fill="F2F1FB" w:val="clear"/>
            <w:tcMar>
              <w:top w:type="dxa" w:w="80"/>
              <w:left w:type="dxa" w:w="120"/>
              <w:bottom w:type="dxa" w:w="80"/>
              <w:right w:type="dxa" w:w="120"/>
            </w:tcMar>
          </w:tcPr>
          <w:p>
            <w:pPr>
              <w:jc w:val="left"/>
            </w:pPr>
            <w:r>
              <w:rPr>
                <w:b/>
                <w:bCs/>
                <w:color w:val="1A1A1A"/>
                <w:sz w:val="20"/>
                <w:szCs w:val="20"/>
              </w:rPr>
              <w:t xml:space="preserve">Tier 1 program adherence</w:t>
            </w:r>
          </w:p>
        </w:tc>
        <w:tc>
          <w:tcPr>
            <w:tcW w:type="dxa" w:w="3600"/>
            <w:tcBorders>
              <w:top w:val="single" w:color="CCCCCC" w:sz="1"/>
              <w:left w:val="single" w:color="CCCCCC" w:sz="1"/>
              <w:bottom w:val="single" w:color="CCCCCC" w:sz="1"/>
              <w:right w:val="single" w:color="CCCCCC" w:sz="1"/>
            </w:tcBorders>
            <w:shd w:fill="F2F1FB" w:val="clear"/>
            <w:tcMar>
              <w:top w:type="dxa" w:w="80"/>
              <w:left w:type="dxa" w:w="120"/>
              <w:bottom w:type="dxa" w:w="80"/>
              <w:right w:type="dxa" w:w="120"/>
            </w:tcMar>
          </w:tcPr>
          <w:p>
            <w:pPr>
              <w:jc w:val="left"/>
            </w:pPr>
            <w:r>
              <w:rPr>
                <w:b w:val="false"/>
                <w:bCs w:val="false"/>
                <w:color w:val="1A1A1A"/>
                <w:sz w:val="20"/>
                <w:szCs w:val="20"/>
              </w:rPr>
              <w:t xml:space="preserve">≥ 50% of plan completed</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A1A1A"/>
                <w:sz w:val="20"/>
                <w:szCs w:val="20"/>
              </w:rPr>
              <w:t xml:space="preserve">Tier 2 benchmark-cycle completion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 70% of T2 athletes</w:t>
            </w:r>
          </w:p>
        </w:tc>
      </w:tr>
      <w:tr>
        <w:tc>
          <w:tcPr>
            <w:tcW w:type="dxa" w:w="5760"/>
            <w:tcBorders>
              <w:top w:val="single" w:color="CCCCCC" w:sz="1"/>
              <w:left w:val="single" w:color="CCCCCC" w:sz="1"/>
              <w:bottom w:val="single" w:color="CCCCCC" w:sz="1"/>
              <w:right w:val="single" w:color="CCCCCC" w:sz="1"/>
            </w:tcBorders>
            <w:shd w:fill="F2F1FB" w:val="clear"/>
            <w:tcMar>
              <w:top w:type="dxa" w:w="80"/>
              <w:left w:type="dxa" w:w="120"/>
              <w:bottom w:type="dxa" w:w="80"/>
              <w:right w:type="dxa" w:w="120"/>
            </w:tcMar>
          </w:tcPr>
          <w:p>
            <w:pPr>
              <w:jc w:val="left"/>
            </w:pPr>
            <w:r>
              <w:rPr>
                <w:b/>
                <w:bCs/>
                <w:color w:val="1A1A1A"/>
                <w:sz w:val="20"/>
                <w:szCs w:val="20"/>
              </w:rPr>
              <w:t xml:space="preserve">Month-3 paid retention</w:t>
            </w:r>
          </w:p>
        </w:tc>
        <w:tc>
          <w:tcPr>
            <w:tcW w:type="dxa" w:w="3600"/>
            <w:tcBorders>
              <w:top w:val="single" w:color="CCCCCC" w:sz="1"/>
              <w:left w:val="single" w:color="CCCCCC" w:sz="1"/>
              <w:bottom w:val="single" w:color="CCCCCC" w:sz="1"/>
              <w:right w:val="single" w:color="CCCCCC" w:sz="1"/>
            </w:tcBorders>
            <w:shd w:fill="F2F1FB" w:val="clear"/>
            <w:tcMar>
              <w:top w:type="dxa" w:w="80"/>
              <w:left w:type="dxa" w:w="120"/>
              <w:bottom w:type="dxa" w:w="80"/>
              <w:right w:type="dxa" w:w="120"/>
            </w:tcMar>
          </w:tcPr>
          <w:p>
            <w:pPr>
              <w:jc w:val="left"/>
            </w:pPr>
            <w:r>
              <w:rPr>
                <w:b w:val="false"/>
                <w:bCs w:val="false"/>
                <w:color w:val="1A1A1A"/>
                <w:sz w:val="20"/>
                <w:szCs w:val="20"/>
              </w:rPr>
              <w:t xml:space="preserve">≥ 70%</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A1A1A"/>
                <w:sz w:val="20"/>
                <w:szCs w:val="20"/>
              </w:rPr>
              <w:t xml:space="preserve">CAC test (club vs standalone)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Club CAC materially below standalone</w:t>
            </w:r>
          </w:p>
        </w:tc>
      </w:tr>
    </w:tbl>
    <w:p>
      <w:pPr>
        <w:spacing w:after="120"/>
      </w:pPr>
      <w:r>
        <w:rPr>
          <w:b w:val="false"/>
          <w:bCs w:val="false"/>
          <w:i/>
          <w:iCs/>
        </w:rPr>
        <w:t xml:space="preserve">Go/no-go: if conversion and retention clear the illustrative thresholds with safeguarding and verification proven operable, the unit (club + expert program) is repeatable and COLT clones it sport-by-sport. If not, the failure is cheap and instructive — far cheaper than building a marketplace that must be fed forever.</w:t>
      </w:r>
    </w:p>
    <w:p>
      <w:pPr>
        <w:pStyle w:val="Heading1"/>
      </w:pPr>
      <w: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26215C" w:val="clear"/>
            <w:tcMar>
              <w:top w:type="dxa" w:w="80"/>
              <w:left w:type="dxa" w:w="120"/>
              <w:bottom w:type="dxa" w:w="80"/>
              <w:right w:type="dxa" w:w="120"/>
            </w:tcMar>
          </w:tcPr>
          <w:p>
            <w:pPr>
              <w:jc w:val="left"/>
            </w:pPr>
            <w:r>
              <w:rPr>
                <w:b/>
                <w:bCs/>
                <w:color w:val="FFFFFF"/>
                <w:sz w:val="20"/>
                <w:szCs w:val="20"/>
              </w:rPr>
              <w:t xml:space="preserve">Risk</w:t>
            </w:r>
          </w:p>
        </w:tc>
        <w:tc>
          <w:tcPr>
            <w:tcW w:type="dxa" w:w="5960"/>
            <w:tcBorders>
              <w:top w:val="single" w:color="CCCCCC" w:sz="1"/>
              <w:left w:val="single" w:color="CCCCCC" w:sz="1"/>
              <w:bottom w:val="single" w:color="CCCCCC" w:sz="1"/>
              <w:right w:val="single" w:color="CCCCCC" w:sz="1"/>
            </w:tcBorders>
            <w:shd w:fill="26215C" w:val="clear"/>
            <w:tcMar>
              <w:top w:type="dxa" w:w="80"/>
              <w:left w:type="dxa" w:w="120"/>
              <w:bottom w:type="dxa" w:w="80"/>
              <w:right w:type="dxa" w:w="120"/>
            </w:tcMar>
          </w:tcPr>
          <w:p>
            <w:pPr>
              <w:jc w:val="left"/>
            </w:pPr>
            <w:r>
              <w:rPr>
                <w:b/>
                <w:bCs/>
                <w:color w:val="FFFFFF"/>
                <w:sz w:val="20"/>
                <w:szCs w:val="20"/>
              </w:rPr>
              <w:t xml:space="preserve">Mitigation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A1A1A"/>
                <w:sz w:val="20"/>
                <w:szCs w:val="20"/>
              </w:rPr>
              <w:t xml:space="preserve">Child safeguarding (adult–minor, video)</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One vetted coach with WWCC + child-safe training; club-mediated; no 1:1 DMs or private video; parental consent; mandatory-reporting compliance.</w:t>
            </w:r>
          </w:p>
        </w:tc>
      </w:tr>
      <w:tr>
        <w:tc>
          <w:tcPr>
            <w:tcW w:type="dxa" w:w="3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b/>
                <w:bCs/>
                <w:color w:val="1A1A1A"/>
                <w:sz w:val="20"/>
                <w:szCs w:val="20"/>
              </w:rPr>
              <w:t xml:space="preserve">Verification doesn't scale</w:t>
            </w:r>
          </w:p>
        </w:tc>
        <w:tc>
          <w:tcPr>
            <w:tcW w:type="dxa" w:w="59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b w:val="false"/>
                <w:bCs w:val="false"/>
                <w:color w:val="1A1A1A"/>
                <w:sz w:val="20"/>
                <w:szCs w:val="20"/>
              </w:rPr>
              <w:t xml:space="preserve">Video-based self-capture + automated counting/timing, with coach sampling rather than coach grading every rep.</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A1A1A"/>
                <w:sz w:val="20"/>
                <w:szCs w:val="20"/>
              </w:rPr>
              <w:t xml:space="preserve">Low conversion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Keep free genuinely useful but make T1/T2 clearly worth it; parent visibility is the willingness-to-pay lever.</w:t>
            </w:r>
          </w:p>
        </w:tc>
      </w:tr>
      <w:tr>
        <w:tc>
          <w:tcPr>
            <w:tcW w:type="dxa" w:w="3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b/>
                <w:bCs/>
                <w:color w:val="1A1A1A"/>
                <w:sz w:val="20"/>
                <w:szCs w:val="20"/>
              </w:rPr>
              <w:t xml:space="preserve">Coach dependency / channel conflict</w:t>
            </w:r>
          </w:p>
        </w:tc>
        <w:tc>
          <w:tcPr>
            <w:tcW w:type="dxa" w:w="59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b w:val="false"/>
                <w:bCs w:val="false"/>
                <w:color w:val="1A1A1A"/>
                <w:sz w:val="20"/>
                <w:szCs w:val="20"/>
              </w:rPr>
              <w:t xml:space="preserve">Coach is a supplier, not a competitor: exclusivity + rev-share; COLT owns the parent relationship and the data.</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A1A1A"/>
                <w:sz w:val="20"/>
                <w:szCs w:val="20"/>
              </w:rPr>
              <w:t xml:space="preserve">Churn after one program cycle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sz w:val="20"/>
                <w:szCs w:val="20"/>
              </w:rPr>
              <w:t xml:space="preserve">Recurring cadence — weekly drops, fresh challenges, and benchmark re-tests that show progress.</w:t>
            </w:r>
          </w:p>
        </w:tc>
      </w:tr>
      <w:tr>
        <w:tc>
          <w:tcPr>
            <w:tcW w:type="dxa" w:w="3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b/>
                <w:bCs/>
                <w:color w:val="1A1A1A"/>
                <w:sz w:val="20"/>
                <w:szCs w:val="20"/>
              </w:rPr>
              <w:t xml:space="preserve">Single sport / region concentration</w:t>
            </w:r>
          </w:p>
        </w:tc>
        <w:tc>
          <w:tcPr>
            <w:tcW w:type="dxa" w:w="59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b w:val="false"/>
                <w:bCs w:val="false"/>
                <w:color w:val="1A1A1A"/>
                <w:sz w:val="20"/>
                <w:szCs w:val="20"/>
              </w:rPr>
              <w:t xml:space="preserve">Pilot is deliberately narrow; clone the unit (club + program) sport-by-sport only after proof.</w:t>
            </w:r>
          </w:p>
        </w:tc>
      </w:tr>
    </w:tbl>
    <w:p>
      <w:pPr>
        <w:pStyle w:val="Heading1"/>
      </w:pPr>
      <w:r>
        <w:t xml:space="preserve">10. Sources</w:t>
      </w:r>
    </w:p>
    <w:p>
      <w:pPr>
        <w:spacing w:after="120"/>
      </w:pPr>
      <w:hyperlink w:history="1" r:id="rIdsgraa_l8qbuf9mgehbvdr">
        <w:r>
          <w:rPr>
            <w:rStyle w:val="Hyperlink"/>
          </w:rPr>
          <w:t xml:space="preserve">Basketball — Australia’s fastest-growing team sport (Basketball Australia)</w:t>
        </w:r>
      </w:hyperlink>
    </w:p>
    <w:p>
      <w:pPr>
        <w:spacing w:after="120"/>
      </w:pPr>
      <w:hyperlink w:history="1" r:id="rIdp2wbbrsfthqtv3t9adntt">
        <w:r>
          <w:rPr>
            <w:rStyle w:val="Hyperlink"/>
          </w:rPr>
          <w:t xml:space="preserve">1.3M players and junior participation (Basketball.com.au)</w:t>
        </w:r>
      </w:hyperlink>
    </w:p>
    <w:p>
      <w:pPr>
        <w:spacing w:after="120"/>
      </w:pPr>
      <w:hyperlink w:history="1" r:id="rIdja1rvbexsjygziw1ysoav">
        <w:r>
          <w:rPr>
            <w:rStyle w:val="Hyperlink"/>
          </w:rPr>
          <w:t xml:space="preserve">QLD growth, 210k+ participants and court shortfall (Basketball Queensland)</w:t>
        </w:r>
      </w:hyperlink>
    </w:p>
    <w:p>
      <w:pPr>
        <w:spacing w:after="120"/>
      </w:pPr>
      <w:hyperlink w:history="1" r:id="rIdudorush9w9p5o7pneco7u">
        <w:r>
          <w:rPr>
            <w:rStyle w:val="Hyperlink"/>
          </w:rPr>
          <w:t xml:space="preserve">AusPlay youth participation (Australian Sports Commission)</w:t>
        </w:r>
      </w:hyperlink>
    </w:p>
    <w:p>
      <w:pPr>
        <w:spacing w:after="120"/>
      </w:pPr>
      <w:hyperlink w:history="1" r:id="rIdvwk4s9krjacjv5-ohr_33">
        <w:r>
          <w:rPr>
            <w:rStyle w:val="Hyperlink"/>
          </w:rPr>
          <w:t xml:space="preserve">Volunteer / community-coach training gaps (Annals of Leisure Research)</w:t>
        </w:r>
      </w:hyperlink>
    </w:p>
    <w:p>
      <w:pPr>
        <w:spacing w:after="120"/>
      </w:pPr>
      <w:hyperlink w:history="1" r:id="rIdlbfoeroovyy5echezzcjo">
        <w:r>
          <w:rPr>
            <w:rStyle w:val="Hyperlink"/>
          </w:rPr>
          <w:t xml:space="preserve">Safeguarding for coaches (Sport Integrity Australia)</w:t>
        </w:r>
      </w:hyperlink>
    </w:p>
    <w:p>
      <w:pPr>
        <w:spacing w:after="120"/>
      </w:pPr>
      <w:hyperlink w:history="1" r:id="rIdcgivnt8jj8xfpp-os0ybn">
        <w:r>
          <w:rPr>
            <w:rStyle w:val="Hyperlink"/>
          </w:rPr>
          <w:t xml:space="preserve">TrainHeroic marketplace economics</w:t>
        </w:r>
      </w:hyperlink>
      <w:r>
        <w:t xml:space="preserve">   ·   </w:t>
      </w:r>
      <w:hyperlink w:history="1" r:id="rIdrowq2kb1koxdamyegqa_b">
        <w:r>
          <w:rPr>
            <w:rStyle w:val="Hyperlink"/>
          </w:rPr>
          <w:t xml:space="preserve">CoachNow PRO</w:t>
        </w:r>
      </w:hyperlink>
      <w:r>
        <w:t xml:space="preserve">   ·   </w:t>
      </w:r>
      <w:hyperlink w:history="1" r:id="rIdhvgvk7k3ays2vzsxvctro">
        <w:r>
          <w:rPr>
            <w:rStyle w:val="Hyperlink"/>
          </w:rPr>
          <w:t xml:space="preserve">Playbook</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6"/>
        <w:szCs w:val="16"/>
      </w:rPr>
      <w:t xml:space="preserve">Page </w:t>
    </w:r>
    <w:r>
      <w:rPr>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5E5A"/>
        <w:sz w:val="16"/>
        <w:szCs w:val="16"/>
      </w:rPr>
      <w:t xml:space="preserve">COLT — confidential strategy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6215C"/>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graa_l8qbuf9mgehbvdr" Type="http://schemas.openxmlformats.org/officeDocument/2006/relationships/hyperlink" Target="https://www.australia.basketball/news/4283935/australias-fastest-growing-team-sport" TargetMode="External"/><Relationship Id="rIdp2wbbrsfthqtv3t9adntt" Type="http://schemas.openxmlformats.org/officeDocument/2006/relationships/hyperlink" Target="https://www.basketball.com.au/news/basketball-participation-in-australia-in-2025-boast-one-million-three-hundred-thousands-players" TargetMode="External"/><Relationship Id="rIdja1rvbexsjygziw1ysoav" Type="http://schemas.openxmlformats.org/officeDocument/2006/relationships/hyperlink" Target="https://www.queensland.basketball/resources/news/2023-24-ausplay-report-confirms-basketballs-growth-in-queensland" TargetMode="External"/><Relationship Id="rIdudorush9w9p5o7pneco7u" Type="http://schemas.openxmlformats.org/officeDocument/2006/relationships/hyperlink" Target="https://www.ausport.gov.au/clearinghouse/evidence/children-and-youth-in-sport" TargetMode="External"/><Relationship Id="rIdvwk4s9krjacjv5-ohr_33" Type="http://schemas.openxmlformats.org/officeDocument/2006/relationships/hyperlink" Target="https://www.tandfonline.com/doi/full/10.1080/11745398.2023.2227745" TargetMode="External"/><Relationship Id="rIdlbfoeroovyy5echezzcjo" Type="http://schemas.openxmlformats.org/officeDocument/2006/relationships/hyperlink" Target="https://www.sportintegrity.gov.au/what-we-do/safeguarding-sport/coaches" TargetMode="External"/><Relationship Id="rIdcgivnt8jj8xfpp-os0ybn" Type="http://schemas.openxmlformats.org/officeDocument/2006/relationships/hyperlink" Target="https://www.trainheroic.com/become-a-seller/" TargetMode="External"/><Relationship Id="rIdrowq2kb1koxdamyegqa_b" Type="http://schemas.openxmlformats.org/officeDocument/2006/relationships/hyperlink" Target="https://coachnow.com/pro" TargetMode="External"/><Relationship Id="rIdhvgvk7k3ays2vzsxvctro" Type="http://schemas.openxmlformats.org/officeDocument/2006/relationships/hyperlink" Target="https://www.joinplaybook.com/" TargetMode="External"/><Relationship Id="rId9" Type="http://schemas.openxmlformats.org/officeDocument/2006/relationships/image" Target="media/4ac35b6264250b96b115ccc8bf2d7c3ef6231abf.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2026-06-22T09:33:31.769Z</dcterms:created>
  <dcterms:modified xsi:type="dcterms:W3CDTF">2026-06-22T09:33:31.770Z</dcterms:modified>
</cp:coreProperties>
</file>

<file path=docProps/custom.xml><?xml version="1.0" encoding="utf-8"?>
<Properties xmlns="http://schemas.openxmlformats.org/officeDocument/2006/custom-properties" xmlns:vt="http://schemas.openxmlformats.org/officeDocument/2006/docPropsVTypes"/>
</file>