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rFonts w:ascii="Georgia" w:cs="Georgia" w:eastAsia="Georgia" w:hAnsi="Georgia"/>
          <w:b/>
          <w:bCs/>
          <w:color w:val="1E2761"/>
          <w:sz w:val="64"/>
          <w:szCs w:val="64"/>
        </w:rPr>
        <w:t xml:space="preserve">NextGen Athlete</w:t>
      </w:r>
    </w:p>
    <w:p>
      <w:pPr>
        <w:spacing w:after="160"/>
      </w:pPr>
      <w:r>
        <w:rPr>
          <w:rFonts w:ascii="Georgia" w:cs="Georgia" w:eastAsia="Georgia" w:hAnsi="Georgia"/>
          <w:color w:val="2F5496"/>
          <w:sz w:val="28"/>
          <w:szCs w:val="28"/>
        </w:rPr>
        <w:t xml:space="preserve">Business Case, Concept &amp; Target-Market Validation</w:t>
      </w:r>
    </w:p>
    <w:p>
      <w:pPr>
        <w:pBdr>
          <w:bottom w:val="single" w:color="1E2761" w:sz="12" w:space="4"/>
        </w:pBdr>
      </w:pPr>
      <w:r>
        <w:t xml:space="preserve"/>
      </w:r>
    </w:p>
    <w:p>
      <w:pPr>
        <w:spacing w:after="120" w:before="240"/>
      </w:pPr>
      <w:r>
        <w:rPr>
          <w:i/>
          <w:iCs/>
          <w:color w:val="595959"/>
          <w:sz w:val="22"/>
          <w:szCs w:val="22"/>
        </w:rPr>
        <w:t xml:space="preserve">An independent pressure-test of the AI-powered youth athlete development platform across four dimensions — market size &amp; demand, competition &amp; differentiation, target-market fit, and unit economics — for the Australian market with global benchmarking. Updated for the revised model: free for clubs, with a 70/30 subscription split in the founder’s favour.</w:t>
      </w:r>
    </w:p>
    <w:p>
      <w:pPr>
        <w:spacing w:before="1300"/>
      </w:pPr>
      <w:r>
        <w:rPr>
          <w:b/>
          <w:bCs/>
          <w:sz w:val="22"/>
          <w:szCs w:val="22"/>
        </w:rPr>
        <w:t xml:space="preserve">Prepared for: </w:t>
      </w:r>
      <w:r>
        <w:rPr>
          <w:sz w:val="22"/>
          <w:szCs w:val="22"/>
        </w:rPr>
        <w:t xml:space="preserve">Rob Chambers</w:t>
      </w:r>
    </w:p>
    <w:p>
      <w:pPr>
        <w:spacing w:after="130"/>
      </w:pPr>
      <w:r>
        <w:rPr>
          <w:color w:val="595959"/>
          <w:sz w:val="20"/>
          <w:szCs w:val="20"/>
        </w:rPr>
        <w:t xml:space="preserve">Date: June 2026    |    Market focus: Australia + global view</w:t>
      </w:r>
    </w:p>
    <w:p>
      <w:pPr>
        <w:spacing w:before="160"/>
      </w:pPr>
      <w:r>
        <w:rPr>
          <w:b/>
          <w:bCs/>
          <w:sz w:val="24"/>
          <w:szCs w:val="24"/>
        </w:rPr>
        <w:t xml:space="preserve">Verdict:  </w:t>
      </w:r>
      <w:r>
        <w:rPr>
          <w:b/>
          <w:bCs/>
          <w:color w:val="2C5F2D"/>
          <w:sz w:val="24"/>
          <w:szCs w:val="24"/>
        </w:rPr>
        <w:t xml:space="preserve">PROCEED WITH FOCUS</w:t>
      </w:r>
      <w:r>
        <w:rPr>
          <w:color w:val="595959"/>
          <w:sz w:val="22"/>
          <w:szCs w:val="22"/>
        </w:rPr>
        <w:t xml:space="preserve">  — the free-to-club, 70/30 model removes the biggest risk; conversion is now the metric that matters.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30"/>
      </w:pPr>
      <w:r>
        <w:rPr>
          <w:b/>
          <w:bCs/>
        </w:rPr>
        <w:t xml:space="preserve">NextGen Athlete targets a real, sizeable and validated market. </w:t>
      </w:r>
      <w:r>
        <w:t xml:space="preserve">Australia has roughly 1.3 million children active through a sports club, and the two MVP sports are well chosen: soccer is the country's most-played team sport with ~632,000 child players, and rugby league has ~83,000 children (0–14) plus a far larger teen base. Parents already spend an average of ~$1,065 per child per year on organised sport, and a $9.99/month development subscription is externally validated — Techne Futbol charges exactly that for youth soccer training.</w:t>
      </w:r>
    </w:p>
    <w:p>
      <w:pPr>
        <w:spacing w:after="130"/>
      </w:pPr>
      <w:r>
        <w:rPr>
          <w:b/>
          <w:bCs/>
        </w:rPr>
        <w:t xml:space="preserve">The concept also sits in genuine whitespace. </w:t>
      </w:r>
      <w:r>
        <w:t xml:space="preserve">The platforms most people picture as competitors — PlayHQ, the NRL's MySideline, and football's Squadi/Dribl — are registration and competition-management systems that are mandated by governing bodies and effectively free to clubs. None of them deliver player development, AI coaching, or gamified engagement. That is exactly the lane NextGen would occupy, so it complements rather than competes with the incumbent rails.</w:t>
      </w:r>
    </w:p>
    <w:p>
      <w:pPr>
        <w:spacing w:after="130"/>
      </w:pPr>
      <w:r>
        <w:rPr>
          <w:b/>
          <w:bCs/>
        </w:rPr>
        <w:t xml:space="preserve">The revised model removes the original plan’s biggest weakness. </w:t>
      </w:r>
      <w:r>
        <w:t xml:space="preserve">Clubs no longer pay a licence — they access the product free and earn 30% of subscription revenue for promoting it, while NextGen keeps 70%. This eliminates the hardest, slowest sale in the original plan (asking volunteer-run, cash-strapped clubs to find $2,500–$10,000/yr) and turns the club into a zero-risk, pure-upside distribution partner. The higher 70% subscription share also lifts NextGen’s take per paying athlete from ~$48 to ~$84 per year, so at scale the model earns more than the old licence-plus-40% structure despite charging clubs nothing.</w:t>
      </w:r>
    </w:p>
    <w:p>
      <w:pPr>
        <w:spacing w:after="130"/>
      </w:pPr>
      <w:r>
        <w:rPr>
          <w:b/>
          <w:bCs/>
          <w:color w:val="2C5F2D"/>
        </w:rPr>
        <w:t xml:space="preserve">Recommendation: PROCEED WITH FOCUS. </w:t>
      </w:r>
      <w:r>
        <w:t xml:space="preserve">With the club barrier gone, the business now lives or dies on one number — parent conversion — because all revenue is subscription-driven. Concentrate effort there: a parent-first acquisition motion with clubs as the credibility channel, a moat built on the club/athlete engagement loop rather than “AI coaching” (which is commoditising fast), and enough club incentive at 30% to make volunteers actively push the app. Validate with 3–5 club conversations that clubs will promote a free, revenue-sharing product before scaling spend.</w:t>
      </w:r>
    </w:p>
    <w:p>
      <w:pPr>
        <w:pStyle w:val="Heading2"/>
      </w:pPr>
      <w:r>
        <w:t xml:space="preserve">Validation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c>
          <w:tcPr>
            <w:tcW w:type="dxa" w:w="260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Dimension</w:t>
            </w:r>
          </w:p>
        </w:tc>
        <w:tc>
          <w:tcPr>
            <w:tcW w:type="dxa" w:w="150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Rating</w:t>
            </w:r>
          </w:p>
        </w:tc>
        <w:tc>
          <w:tcPr>
            <w:tcW w:type="dxa" w:w="526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One-line read</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Market size &amp; demand</w:t>
            </w:r>
          </w:p>
        </w:tc>
        <w:tc>
          <w:tcPr>
            <w:tcW w:type="dxa" w:w="150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bCs/>
                <w:color w:val="2C5F2D"/>
                <w:sz w:val="17"/>
                <w:szCs w:val="17"/>
              </w:rPr>
              <w:t xml:space="preserve">Strong</w:t>
            </w:r>
          </w:p>
        </w:tc>
        <w:tc>
          <w:tcPr>
            <w:tcW w:type="dxa" w:w="5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Large, growing, and parents already pay for sport and dev apps.</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Competition &amp; differentiation</w:t>
            </w:r>
          </w:p>
        </w:tc>
        <w:tc>
          <w:tcPr>
            <w:tcW w:type="dxa" w:w="150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bCs/>
                <w:color w:val="B8860B"/>
                <w:sz w:val="17"/>
                <w:szCs w:val="17"/>
              </w:rPr>
              <w:t xml:space="preserve">Moderate</w:t>
            </w:r>
          </w:p>
        </w:tc>
        <w:tc>
          <w:tcPr>
            <w:tcW w:type="dxa" w:w="5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Clear whitespace vs. registration platforms, but “AI coach” alone is not a moat.</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Target-market fit</w:t>
            </w:r>
          </w:p>
        </w:tc>
        <w:tc>
          <w:tcPr>
            <w:tcW w:type="dxa" w:w="150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bCs/>
                <w:color w:val="2C5F2D"/>
                <w:sz w:val="17"/>
                <w:szCs w:val="17"/>
              </w:rPr>
              <w:t xml:space="preserve">Improved</w:t>
            </w:r>
          </w:p>
        </w:tc>
        <w:tc>
          <w:tcPr>
            <w:tcW w:type="dxa" w:w="5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Free-to-club removes the hardest sale; clubs are now a zero-risk, paid distribution channel.</w:t>
            </w:r>
          </w:p>
        </w:tc>
      </w:tr>
      <w:tr>
        <w:tc>
          <w:tcPr>
            <w:tcW w:type="dxa" w:w="26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Unit economics &amp; growth</w:t>
            </w:r>
          </w:p>
        </w:tc>
        <w:tc>
          <w:tcPr>
            <w:tcW w:type="dxa" w:w="150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bCs/>
                <w:color w:val="B8860B"/>
                <w:sz w:val="17"/>
                <w:szCs w:val="17"/>
              </w:rPr>
              <w:t xml:space="preserve">Conversion-led</w:t>
            </w:r>
          </w:p>
        </w:tc>
        <w:tc>
          <w:tcPr>
            <w:tcW w:type="dxa" w:w="52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100% subscription-driven; higher per-athlete take, but parent conversion is now everything.</w:t>
            </w:r>
          </w:p>
        </w:tc>
      </w:tr>
    </w:tbl>
    <w:p>
      <w:pPr>
        <w:pStyle w:val="Heading1"/>
      </w:pPr>
      <w:r>
        <w:t xml:space="preserve">2. Market Size &amp; Demand</w:t>
      </w:r>
    </w:p>
    <w:p>
      <w:pPr>
        <w:spacing w:after="130"/>
      </w:pPr>
      <w:r>
        <w:rPr>
          <w:b/>
          <w:bCs/>
        </w:rPr>
        <w:t xml:space="preserve">Rating: </w:t>
      </w:r>
      <w:r>
        <w:rPr>
          <w:b/>
          <w:bCs/>
          <w:color w:val="2C5F2D"/>
        </w:rPr>
        <w:t xml:space="preserve">Strong. </w:t>
      </w:r>
      <w:r>
        <w:t xml:space="preserve">The demand side of the case holds up well, and the choice of soccer and rugby league as launch sports is sound.</w:t>
      </w:r>
    </w:p>
    <w:p>
      <w:pPr>
        <w:pStyle w:val="Heading2"/>
      </w:pPr>
      <w:r>
        <w:t xml:space="preserve">Participation base (Australia)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3860"/>
      </w:tblGrid>
      <w:tr>
        <w:tc>
          <w:tcPr>
            <w:tcW w:type="dxa" w:w="340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Segment</w:t>
            </w:r>
          </w:p>
        </w:tc>
        <w:tc>
          <w:tcPr>
            <w:tcW w:type="dxa" w:w="210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Figure</w:t>
            </w:r>
          </w:p>
        </w:tc>
        <w:tc>
          <w:tcPr>
            <w:tcW w:type="dxa" w:w="386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Note</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Children active through a sports club</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~1.3 million</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Broad addressable base if sports expand.</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Child soccer players</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~632,000</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Most-played team sport; ~25% female.</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Children in rugby league (0–14)</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~83,000</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Larger teen base; total RL participation 1.03M, +20% YoY.</w:t>
            </w:r>
          </w:p>
        </w:tc>
      </w:tr>
      <w:tr>
        <w:tc>
          <w:tcPr>
            <w:tcW w:type="dxa" w:w="3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Avg annual sport fees per child</w:t>
            </w:r>
          </w:p>
        </w:tc>
        <w:tc>
          <w:tcPr>
            <w:tcW w:type="dxa" w:w="21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~$1,065</w:t>
            </w:r>
          </w:p>
        </w:tc>
        <w:tc>
          <w:tcPr>
            <w:tcW w:type="dxa" w:w="38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Up from $447 in 2015–16; 1 in 10 parents pay $1,000+.</w:t>
            </w:r>
          </w:p>
        </w:tc>
      </w:tr>
    </w:tbl>
    <w:p>
      <w:pPr>
        <w:spacing w:after="130"/>
      </w:pPr>
      <w:r>
        <w:rPr>
          <w:b/>
          <w:bCs/>
        </w:rPr>
        <w:t xml:space="preserve">Willingness to pay for a development subscription is externally validated. </w:t>
      </w:r>
      <w:r>
        <w:t xml:space="preserve">Techne Futbol charges $9.99/month for coach-designed youth soccer sessions and DribbleUp runs $14.99/month plus hardware. NextGen's $9.99 price sits at the proven low end of this category and is small relative to the ~$1,065/yr parents already spend.</w:t>
      </w:r>
    </w:p>
    <w:p>
      <w:pPr>
        <w:pStyle w:val="Heading2"/>
      </w:pPr>
      <w:r>
        <w:t xml:space="preserve">TAM / SAM /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Layer</w:t>
            </w:r>
          </w:p>
        </w:tc>
        <w:tc>
          <w:tcPr>
            <w:tcW w:type="dxa" w:w="220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Size</w:t>
            </w:r>
          </w:p>
        </w:tc>
        <w:tc>
          <w:tcPr>
            <w:tcW w:type="dxa" w:w="476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Basis</w:t>
            </w:r>
          </w:p>
        </w:tc>
      </w:tr>
      <w:tr>
        <w:tc>
          <w:tcPr>
            <w:tcW w:type="dxa" w:w="240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bCs/>
                <w:color w:val="000000"/>
                <w:sz w:val="17"/>
                <w:szCs w:val="17"/>
              </w:rPr>
              <w:t xml:space="preserve">TAM</w:t>
            </w:r>
          </w:p>
        </w:tc>
        <w:tc>
          <w:tcPr>
            <w:tcW w:type="dxa" w:w="220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val="false"/>
                <w:bCs w:val="false"/>
                <w:color w:val="000000"/>
                <w:sz w:val="17"/>
                <w:szCs w:val="17"/>
              </w:rPr>
              <w:t xml:space="preserve">~1.3M kids</w:t>
            </w:r>
          </w:p>
        </w:tc>
        <w:tc>
          <w:tcPr>
            <w:tcW w:type="dxa" w:w="476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val="false"/>
                <w:bCs w:val="false"/>
                <w:color w:val="000000"/>
                <w:sz w:val="17"/>
                <w:szCs w:val="17"/>
              </w:rPr>
              <w:t xml:space="preserve">All club-active children (if NextGen broadens beyond two sports).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SAM</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~700–800k youth</w:t>
            </w:r>
          </w:p>
        </w:tc>
        <w:tc>
          <w:tcPr>
            <w:tcW w:type="dxa" w:w="47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Soccer + rugby league youth participants — the two MVP sports.</w:t>
            </w:r>
          </w:p>
        </w:tc>
      </w:tr>
      <w:tr>
        <w:tc>
          <w:tcPr>
            <w:tcW w:type="dxa" w:w="240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bCs/>
                <w:color w:val="000000"/>
                <w:sz w:val="17"/>
                <w:szCs w:val="17"/>
              </w:rPr>
              <w:t xml:space="preserve">SOM (Yr 3 target)</w:t>
            </w:r>
          </w:p>
        </w:tc>
        <w:tc>
          <w:tcPr>
            <w:tcW w:type="dxa" w:w="220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val="false"/>
                <w:bCs w:val="false"/>
                <w:color w:val="000000"/>
                <w:sz w:val="17"/>
                <w:szCs w:val="17"/>
              </w:rPr>
              <w:t xml:space="preserve">25,000 athletes</w:t>
            </w:r>
          </w:p>
        </w:tc>
        <w:tc>
          <w:tcPr>
            <w:tcW w:type="dxa" w:w="476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val="false"/>
                <w:bCs w:val="false"/>
                <w:color w:val="000000"/>
                <w:sz w:val="17"/>
                <w:szCs w:val="17"/>
              </w:rPr>
              <w:t xml:space="preserve">~3.5% of SAM — reasonable as a number, but concentrated in 200 clubs.</w:t>
            </w:r>
          </w:p>
        </w:tc>
      </w:tr>
    </w:tbl>
    <w:p>
      <w:pPr>
        <w:spacing w:after="130"/>
      </w:pPr>
      <w:r>
        <w:rPr>
          <w:b/>
          <w:bCs/>
        </w:rPr>
        <w:t xml:space="preserve">Caveat: </w:t>
      </w:r>
      <w:r>
        <w:t xml:space="preserve">the 25,000 figure is not unreasonable in aggregate, but the plan reaches it through deep penetration of a small number of clubs (~125 paying athletes each), which is where the demand story collides with the economics (Section 5). Cost is also the single biggest barrier to youth-sport participation, so a new paid app competes against genuine fee fatigue.</w:t>
      </w:r>
    </w:p>
    <w:p>
      <w:pPr>
        <w:pStyle w:val="Heading1"/>
      </w:pPr>
      <w:r>
        <w:t xml:space="preserve">3. Competition &amp; Differentiation</w:t>
      </w:r>
    </w:p>
    <w:p>
      <w:pPr>
        <w:spacing w:after="130"/>
      </w:pPr>
      <w:r>
        <w:rPr>
          <w:b/>
          <w:bCs/>
        </w:rPr>
        <w:t xml:space="preserve">Rating: </w:t>
      </w:r>
      <w:r>
        <w:rPr>
          <w:b/>
          <w:bCs/>
          <w:color w:val="B8860B"/>
        </w:rPr>
        <w:t xml:space="preserve">Moderate. </w:t>
      </w:r>
      <w:r>
        <w:t xml:space="preserve">The key strategic insight is that NextGen does not compete with the platforms most people assume — and that is both an opportunity and a constraint.</w:t>
      </w:r>
    </w:p>
    <w:p>
      <w:pPr>
        <w:pStyle w:val="Heading2"/>
      </w:pPr>
      <w:r>
        <w:t xml:space="preserve">The incumbents own a different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c>
          <w:tcPr>
            <w:tcW w:type="dxa" w:w="230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Platform</w:t>
            </w:r>
          </w:p>
        </w:tc>
        <w:tc>
          <w:tcPr>
            <w:tcW w:type="dxa" w:w="350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What it does</w:t>
            </w:r>
          </w:p>
        </w:tc>
        <w:tc>
          <w:tcPr>
            <w:tcW w:type="dxa" w:w="356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Relevance to NextGen</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PlayHQ</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“Operating system of community sport” — registration, payments, fixtures. AFL, Cricket, Basketball, Netball; 11M+ registrations.</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Not a competitor — different category. Governing-body mandated, free to clubs.</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MySideline (NRL)</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Mandated rugby league registration/competition system; 1,200+ clubs.</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Owns the RL registration rail. NextGen must be an add-on, not a replacement.</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Squadi / Dribl</w:t>
            </w:r>
          </w:p>
        </w:tc>
        <w:tc>
          <w:tcPr>
            <w:tcW w:type="dxa" w:w="3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Football registration &amp; competition management; 1,000+ clubs, 1M+ users.</w:t>
            </w:r>
          </w:p>
        </w:tc>
        <w:tc>
          <w:tcPr>
            <w:tcW w:type="dxa" w:w="356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Owns the football rail. Same implication.</w:t>
            </w:r>
          </w:p>
        </w:tc>
      </w:tr>
      <w:tr>
        <w:tc>
          <w:tcPr>
            <w:tcW w:type="dxa" w:w="230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bCs/>
                <w:color w:val="000000"/>
                <w:sz w:val="17"/>
                <w:szCs w:val="17"/>
              </w:rPr>
              <w:t xml:space="preserve">Techne, DribbleUp, CoachNow</w:t>
            </w:r>
          </w:p>
        </w:tc>
        <w:tc>
          <w:tcPr>
            <w:tcW w:type="dxa" w:w="350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val="false"/>
                <w:bCs w:val="false"/>
                <w:color w:val="000000"/>
                <w:sz w:val="17"/>
                <w:szCs w:val="17"/>
              </w:rPr>
              <w:t xml:space="preserve">Player-development &amp; skills apps — coach-designed sessions, AI feedback.</w:t>
            </w:r>
          </w:p>
        </w:tc>
        <w:tc>
          <w:tcPr>
            <w:tcW w:type="dxa" w:w="356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val="false"/>
                <w:bCs w:val="false"/>
                <w:color w:val="000000"/>
                <w:sz w:val="17"/>
                <w:szCs w:val="17"/>
              </w:rPr>
              <w:t xml:space="preserve">These are the real competitors for the parent's wallet.</w:t>
            </w:r>
          </w:p>
        </w:tc>
      </w:tr>
    </w:tbl>
    <w:p>
      <w:pPr>
        <w:pStyle w:val="Heading2"/>
      </w:pPr>
      <w:r>
        <w:t xml:space="preserve">Where the whitespace — and the risk — sits</w:t>
      </w:r>
    </w:p>
    <w:p>
      <w:pPr>
        <w:pStyle w:val="ListParagraph"/>
        <w:numPr>
          <w:ilvl w:val="0"/>
          <w:numId w:val="2"/>
        </w:numPr>
        <w:spacing w:after="80"/>
      </w:pPr>
      <w:r>
        <w:rPr>
          <w:b/>
          <w:bCs/>
        </w:rPr>
        <w:t xml:space="preserve">Genuine gap: </w:t>
      </w:r>
      <w:r>
        <w:t xml:space="preserve">none of the registration platforms do player development, AI coaching, or gamified engagement. That is NextGen's defensible lane.</w:t>
      </w:r>
    </w:p>
    <w:p>
      <w:pPr>
        <w:pStyle w:val="ListParagraph"/>
        <w:numPr>
          <w:ilvl w:val="0"/>
          <w:numId w:val="2"/>
        </w:numPr>
        <w:spacing w:after="80"/>
      </w:pPr>
      <w:r>
        <w:rPr>
          <w:b/>
          <w:bCs/>
        </w:rPr>
        <w:t xml:space="preserve">“AI coach” is not, by itself, a moat. </w:t>
      </w:r>
      <w:r>
        <w:t xml:space="preserve">The AI-in-sports market is forecast at ~$4.7B by 2034 and entrants are multiplying; AI coaching is commoditising. The durable differentiator is the club–parent–athlete engagement loop (identity, gamification, leaderboards) that a standalone app cannot easily replicate.</w:t>
      </w:r>
    </w:p>
    <w:p>
      <w:pPr>
        <w:pStyle w:val="ListParagraph"/>
        <w:numPr>
          <w:ilvl w:val="0"/>
          <w:numId w:val="2"/>
        </w:numPr>
        <w:spacing w:after="80"/>
      </w:pPr>
      <w:r>
        <w:rPr>
          <w:b/>
          <w:bCs/>
        </w:rPr>
        <w:t xml:space="preserve">Constraint: </w:t>
      </w:r>
      <w:r>
        <w:t xml:space="preserve">because the registration/payment rails are owned and mandated, NextGen cannot own them — it is an add-on, which raises adoption friction inside already app-fatigued clubs.</w:t>
      </w:r>
    </w:p>
    <w:p>
      <w:pPr>
        <w:pStyle w:val="Heading1"/>
      </w:pPr>
      <w:r>
        <w:t xml:space="preserve">4. Target-Market Fit</w:t>
      </w:r>
    </w:p>
    <w:p>
      <w:pPr>
        <w:spacing w:after="130"/>
      </w:pPr>
      <w:r>
        <w:rPr>
          <w:b/>
          <w:bCs/>
        </w:rPr>
        <w:t xml:space="preserve">Rating: </w:t>
      </w:r>
      <w:r>
        <w:rPr>
          <w:b/>
          <w:bCs/>
          <w:color w:val="2C5F2D"/>
        </w:rPr>
        <w:t xml:space="preserve">Improved — the revised model directly fixes what was the weakest dimension. </w:t>
      </w:r>
      <w:r>
        <w:t xml:space="preserve">The original plan asked two buyers to pay at once; the new model asks only the parent to pay and makes the club a paid partner.</w:t>
      </w:r>
    </w:p>
    <w:p>
      <w:pPr>
        <w:spacing w:after="130"/>
      </w:pPr>
      <w:r>
        <w:rPr>
          <w:b/>
          <w:bCs/>
        </w:rPr>
        <w:t xml:space="preserve">Free-to-club changes the club from a reluctant buyer into a willing channel. </w:t>
      </w:r>
      <w:r>
        <w:t xml:space="preserve">Under the old model a volunteer treasurer had to approve a $2,500-$10,000 line item against a tight budget - a slow, seasonal, easily-deferred decision. Under the new model the club pays nothing, carries no risk, and earns 30% of every subscription it helps generate. That is a far easier yes, and it aligns the club incentive with NextGen's: the more the club promotes the app, the more both sides earn.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c>
          <w:tcPr>
            <w:tcW w:type="dxa" w:w="230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Buyer</w:t>
            </w:r>
          </w:p>
        </w:tc>
        <w:tc>
          <w:tcPr>
            <w:tcW w:type="dxa" w:w="353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New model reality</w:t>
            </w:r>
          </w:p>
        </w:tc>
        <w:tc>
          <w:tcPr>
            <w:tcW w:type="dxa" w:w="353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Implication</w:t>
            </w:r>
          </w:p>
        </w:tc>
      </w:tr>
      <w:tr>
        <w:tc>
          <w:tcPr>
            <w:tcW w:type="dxa" w:w="23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Clubs (channel)</w:t>
            </w:r>
          </w:p>
        </w:tc>
        <w:tc>
          <w:tcPr>
            <w:tcW w:type="dxa" w:w="35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Pay nothing; access the product free; earn 30% of subscriptions for promoting it. Zero cost, zero risk, pure upside.</w:t>
            </w:r>
          </w:p>
        </w:tc>
        <w:tc>
          <w:tcPr>
            <w:tcW w:type="dxa" w:w="353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val="false"/>
                <w:bCs w:val="false"/>
                <w:color w:val="000000"/>
                <w:sz w:val="17"/>
                <w:szCs w:val="17"/>
              </w:rPr>
              <w:t xml:space="preserve">Adoption barrier removed. Club becomes a low-friction, incentivised distribution channel.</w:t>
            </w:r>
          </w:p>
        </w:tc>
      </w:tr>
      <w:tr>
        <w:tc>
          <w:tcPr>
            <w:tcW w:type="dxa" w:w="230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bCs/>
                <w:color w:val="000000"/>
                <w:sz w:val="17"/>
                <w:szCs w:val="17"/>
              </w:rPr>
              <w:t xml:space="preserve">Parents (payer)</w:t>
            </w:r>
          </w:p>
        </w:tc>
        <w:tc>
          <w:tcPr>
            <w:tcW w:type="dxa" w:w="353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val="false"/>
                <w:bCs w:val="false"/>
                <w:color w:val="000000"/>
                <w:sz w:val="17"/>
                <w:szCs w:val="17"/>
              </w:rPr>
              <w:t xml:space="preserve">The sole revenue source at $9.99/mo - validated against Techne-style apps.</w:t>
            </w:r>
          </w:p>
        </w:tc>
        <w:tc>
          <w:tcPr>
            <w:tcW w:type="dxa" w:w="353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val="false"/>
                <w:bCs w:val="false"/>
                <w:color w:val="000000"/>
                <w:sz w:val="17"/>
                <w:szCs w:val="17"/>
              </w:rPr>
              <w:t xml:space="preserve">All economics now hinge on parent conversion; this is the number to optimise.</w:t>
            </w:r>
          </w:p>
        </w:tc>
      </w:tr>
    </w:tbl>
    <w:p>
      <w:pPr>
        <w:spacing w:after="130"/>
      </w:pPr>
      <w:r>
        <w:rPr>
          <w:b/>
          <w:bCs/>
          <w:color w:val="2C5F2D"/>
        </w:rPr>
        <w:t xml:space="preserve">Club earnings (free money, zero cost): </w:t>
      </w:r>
      <w:r>
        <w:t xml:space="preserve">at 250 juniors per club, a club earns roughly $900/yr at 10% conversion, $1,800/yr at 20%, and $2,700/yr at 30% - simply for promoting the app. There is no licence to recoup, so every paying athlete is net-positive for the club from day one.</w:t>
      </w:r>
    </w:p>
    <w:p>
      <w:pPr>
        <w:spacing w:after="130"/>
      </w:pPr>
      <w:r>
        <w:rPr>
          <w:b/>
          <w:bCs/>
          <w:color w:val="B85042"/>
        </w:rPr>
        <w:t xml:space="preserve">One trade-off to watch. </w:t>
      </w:r>
      <w:r>
        <w:t xml:space="preserve">Dropping the club's share from 60% to 30% halves its per-athlete reward. With zero cost the club still has no reason to say no, but the incentive only feels material at reasonable volume (about $2,700/yr at 30% conversion of a 250-player club). If clubs treat the app as nice-to-have rather than actively pushing it, conversion - and therefore all revenue - will suffer. The club incentive and the activation playbook should be designed to make promotion worth a volunteer's effort.</w:t>
      </w:r>
    </w:p>
    <w:p>
      <w:pPr>
        <w:pStyle w:val="Heading1"/>
      </w:pPr>
      <w:r>
        <w:t xml:space="preserve">5. Unit Economics &amp; Growth Plan</w:t>
      </w:r>
    </w:p>
    <w:p>
      <w:pPr>
        <w:spacing w:after="130"/>
      </w:pPr>
      <w:r>
        <w:rPr>
          <w:b/>
          <w:bCs/>
        </w:rPr>
        <w:t xml:space="preserve">Rating: </w:t>
      </w:r>
      <w:r>
        <w:rPr>
          <w:b/>
          <w:bCs/>
          <w:color w:val="B8860B"/>
        </w:rPr>
        <w:t xml:space="preserve">Conversion-led. </w:t>
      </w:r>
      <w:r>
        <w:t xml:space="preserve">Removing the licence makes the model cleaner but more singular: with no licence floor, every dollar of revenue now comes from parent subscriptions. NextGen keeps 70% - about $84 per paying athlete per year, up from ~$48 under the old 40% split - so at scale the new model earns more while charging clubs nothing.</w:t>
      </w:r>
    </w:p>
    <w:p>
      <w:pPr>
        <w:pStyle w:val="Heading2"/>
      </w:pPr>
      <w:r>
        <w:t xml:space="preserve">Scenario comparison - NextGen net revenue (free-to-club, 70/30)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10"/>
        <w:gridCol w:w="1550"/>
        <w:gridCol w:w="1550"/>
        <w:gridCol w:w="1550"/>
        <w:gridCol w:w="1500"/>
      </w:tblGrid>
      <w:tr>
        <w:tc>
          <w:tcPr>
            <w:tcW w:type="dxa" w:w="321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left"/>
            </w:pPr>
            <w:r>
              <w:rPr>
                <w:b/>
                <w:bCs/>
                <w:color w:val="FFFFFF"/>
                <w:sz w:val="17"/>
                <w:szCs w:val="17"/>
              </w:rPr>
              <w:t xml:space="preserve">Scenario</w:t>
            </w:r>
          </w:p>
        </w:tc>
        <w:tc>
          <w:tcPr>
            <w:tcW w:type="dxa" w:w="155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center"/>
            </w:pPr>
            <w:r>
              <w:rPr>
                <w:b/>
                <w:bCs/>
                <w:color w:val="FFFFFF"/>
                <w:sz w:val="17"/>
                <w:szCs w:val="17"/>
              </w:rPr>
              <w:t xml:space="preserve">Year 1</w:t>
            </w:r>
          </w:p>
        </w:tc>
        <w:tc>
          <w:tcPr>
            <w:tcW w:type="dxa" w:w="155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center"/>
            </w:pPr>
            <w:r>
              <w:rPr>
                <w:b/>
                <w:bCs/>
                <w:color w:val="FFFFFF"/>
                <w:sz w:val="17"/>
                <w:szCs w:val="17"/>
              </w:rPr>
              <w:t xml:space="preserve">Year 2</w:t>
            </w:r>
          </w:p>
        </w:tc>
        <w:tc>
          <w:tcPr>
            <w:tcW w:type="dxa" w:w="155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center"/>
            </w:pPr>
            <w:r>
              <w:rPr>
                <w:b/>
                <w:bCs/>
                <w:color w:val="FFFFFF"/>
                <w:sz w:val="17"/>
                <w:szCs w:val="17"/>
              </w:rPr>
              <w:t xml:space="preserve">Year 3</w:t>
            </w:r>
          </w:p>
        </w:tc>
        <w:tc>
          <w:tcPr>
            <w:tcW w:type="dxa" w:w="1500"/>
            <w:tcBorders>
              <w:top w:val="single" w:color="CCCCCC" w:sz="1"/>
              <w:left w:val="single" w:color="CCCCCC" w:sz="1"/>
              <w:bottom w:val="single" w:color="CCCCCC" w:sz="1"/>
              <w:right w:val="single" w:color="CCCCCC" w:sz="1"/>
            </w:tcBorders>
            <w:shd w:fill="1E2761" w:val="clear"/>
            <w:tcMar>
              <w:top w:type="dxa" w:w="70"/>
              <w:left w:type="dxa" w:w="110"/>
              <w:bottom w:type="dxa" w:w="70"/>
              <w:right w:type="dxa" w:w="110"/>
            </w:tcMar>
          </w:tcPr>
          <w:p>
            <w:pPr>
              <w:jc w:val="center"/>
            </w:pPr>
            <w:r>
              <w:rPr>
                <w:b/>
                <w:bCs/>
                <w:color w:val="FFFFFF"/>
                <w:sz w:val="17"/>
                <w:szCs w:val="17"/>
              </w:rPr>
              <w:t xml:space="preserve">Club earns Yr3</w:t>
            </w:r>
          </w:p>
        </w:tc>
      </w:tr>
      <w:tr>
        <w:tc>
          <w:tcPr>
            <w:tcW w:type="dxa" w:w="321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A - Ambition (5/50/200 clubs; original targets)</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17"/>
                <w:szCs w:val="17"/>
              </w:rPr>
              <w:t xml:space="preserve">$42k</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17"/>
                <w:szCs w:val="17"/>
              </w:rPr>
              <w:t xml:space="preserve">$420k</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bCs/>
                <w:color w:val="000000"/>
                <w:sz w:val="17"/>
                <w:szCs w:val="17"/>
              </w:rPr>
              <w:t xml:space="preserve">$2.1M</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17"/>
                <w:szCs w:val="17"/>
              </w:rPr>
              <w:t xml:space="preserve">$899k total</w:t>
            </w:r>
          </w:p>
        </w:tc>
      </w:tr>
      <w:tr>
        <w:tc>
          <w:tcPr>
            <w:tcW w:type="dxa" w:w="321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left"/>
            </w:pPr>
            <w:r>
              <w:rPr>
                <w:b/>
                <w:bCs/>
                <w:color w:val="000000"/>
                <w:sz w:val="17"/>
                <w:szCs w:val="17"/>
              </w:rPr>
              <w:t xml:space="preserve">B - Realistic base (10/40/120 clubs; 18% conv.)</w:t>
            </w:r>
          </w:p>
        </w:tc>
        <w:tc>
          <w:tcPr>
            <w:tcW w:type="dxa" w:w="155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center"/>
            </w:pPr>
            <w:r>
              <w:rPr>
                <w:b w:val="false"/>
                <w:bCs w:val="false"/>
                <w:color w:val="000000"/>
                <w:sz w:val="17"/>
                <w:szCs w:val="17"/>
              </w:rPr>
              <w:t xml:space="preserve">$38k</w:t>
            </w:r>
          </w:p>
        </w:tc>
        <w:tc>
          <w:tcPr>
            <w:tcW w:type="dxa" w:w="155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center"/>
            </w:pPr>
            <w:r>
              <w:rPr>
                <w:b w:val="false"/>
                <w:bCs w:val="false"/>
                <w:color w:val="000000"/>
                <w:sz w:val="17"/>
                <w:szCs w:val="17"/>
              </w:rPr>
              <w:t xml:space="preserve">$151k</w:t>
            </w:r>
          </w:p>
        </w:tc>
        <w:tc>
          <w:tcPr>
            <w:tcW w:type="dxa" w:w="155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center"/>
            </w:pPr>
            <w:r>
              <w:rPr>
                <w:b/>
                <w:bCs/>
                <w:color w:val="000000"/>
                <w:sz w:val="17"/>
                <w:szCs w:val="17"/>
              </w:rPr>
              <w:t xml:space="preserve">$453k</w:t>
            </w:r>
          </w:p>
        </w:tc>
        <w:tc>
          <w:tcPr>
            <w:tcW w:type="dxa" w:w="1500"/>
            <w:tcBorders>
              <w:top w:val="single" w:color="CCCCCC" w:sz="1"/>
              <w:left w:val="single" w:color="CCCCCC" w:sz="1"/>
              <w:bottom w:val="single" w:color="CCCCCC" w:sz="1"/>
              <w:right w:val="single" w:color="CCCCCC" w:sz="1"/>
            </w:tcBorders>
            <w:shd w:fill="EAF0FA" w:val="clear"/>
            <w:tcMar>
              <w:top w:type="dxa" w:w="70"/>
              <w:left w:type="dxa" w:w="110"/>
              <w:bottom w:type="dxa" w:w="70"/>
              <w:right w:type="dxa" w:w="110"/>
            </w:tcMar>
          </w:tcPr>
          <w:p>
            <w:pPr>
              <w:jc w:val="center"/>
            </w:pPr>
            <w:r>
              <w:rPr>
                <w:b w:val="false"/>
                <w:bCs w:val="false"/>
                <w:color w:val="000000"/>
                <w:sz w:val="17"/>
                <w:szCs w:val="17"/>
              </w:rPr>
              <w:t xml:space="preserve">$194k total</w:t>
            </w:r>
          </w:p>
        </w:tc>
      </w:tr>
      <w:tr>
        <w:tc>
          <w:tcPr>
            <w:tcW w:type="dxa" w:w="321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left"/>
            </w:pPr>
            <w:r>
              <w:rPr>
                <w:b/>
                <w:bCs/>
                <w:color w:val="000000"/>
                <w:sz w:val="17"/>
                <w:szCs w:val="17"/>
              </w:rPr>
              <w:t xml:space="preserve">C - Conservative (6/20/50 clubs; 12% conv.)</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17"/>
                <w:szCs w:val="17"/>
              </w:rPr>
              <w:t xml:space="preserve">$15k</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17"/>
                <w:szCs w:val="17"/>
              </w:rPr>
              <w:t xml:space="preserve">$50k</w:t>
            </w:r>
          </w:p>
        </w:tc>
        <w:tc>
          <w:tcPr>
            <w:tcW w:type="dxa" w:w="155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bCs/>
                <w:color w:val="000000"/>
                <w:sz w:val="17"/>
                <w:szCs w:val="17"/>
              </w:rPr>
              <w:t xml:space="preserve">$126k</w:t>
            </w:r>
          </w:p>
        </w:tc>
        <w:tc>
          <w:tcPr>
            <w:tcW w:type="dxa" w:w="1500"/>
            <w:tcBorders>
              <w:top w:val="single" w:color="CCCCCC" w:sz="1"/>
              <w:left w:val="single" w:color="CCCCCC" w:sz="1"/>
              <w:bottom w:val="single" w:color="CCCCCC" w:sz="1"/>
              <w:right w:val="single" w:color="CCCCCC" w:sz="1"/>
            </w:tcBorders>
            <w:tcMar>
              <w:top w:type="dxa" w:w="70"/>
              <w:left w:type="dxa" w:w="110"/>
              <w:bottom w:type="dxa" w:w="70"/>
              <w:right w:type="dxa" w:w="110"/>
            </w:tcMar>
          </w:tcPr>
          <w:p>
            <w:pPr>
              <w:jc w:val="center"/>
            </w:pPr>
            <w:r>
              <w:rPr>
                <w:b w:val="false"/>
                <w:bCs w:val="false"/>
                <w:color w:val="000000"/>
                <w:sz w:val="17"/>
                <w:szCs w:val="17"/>
              </w:rPr>
              <w:t xml:space="preserve">$54k total</w:t>
            </w:r>
          </w:p>
        </w:tc>
      </w:tr>
    </w:tbl>
    <w:p>
      <w:pPr>
        <w:spacing w:after="130"/>
      </w:pPr>
      <w:r>
        <w:rPr>
          <w:b/>
          <w:bCs/>
        </w:rPr>
        <w:t xml:space="preserve">Two things stand out. </w:t>
      </w:r>
      <w:r>
        <w:t xml:space="preserve">First, the realistic base case now reaches ~$453k at Year 3 (up from ~$308k under the old licence-plus-40% model) - and it is more achievable, because free access lets clubs onboard without a budget decision (modelled here as 10 to 40 to 120 clubs rather than 5 to 20 to 50). Second, the club-earns column shows the channel is being paid well in aggregate, which should accelerate word-of-mouth adoption between clubs.</w:t>
      </w:r>
    </w:p>
    <w:p>
      <w:pPr>
        <w:pStyle w:val="Heading2"/>
      </w:pPr>
      <w:r>
        <w:t xml:space="preserve">What to stress-test now</w:t>
      </w:r>
    </w:p>
    <w:p>
      <w:pPr>
        <w:pStyle w:val="ListParagraph"/>
        <w:numPr>
          <w:ilvl w:val="0"/>
          <w:numId w:val="3"/>
        </w:numPr>
        <w:spacing w:after="80"/>
      </w:pPr>
      <w:r>
        <w:rPr>
          <w:b/>
          <w:bCs/>
        </w:rPr>
        <w:t xml:space="preserve">Parent conversion is the whole model. </w:t>
      </w:r>
      <w:r>
        <w:t xml:space="preserve">With no licence cushion, halving conversion roughly halves revenue. Instrument and optimise the parent funnel (free trial, in-app onboarding, club-led activation) above all else.</w:t>
      </w:r>
    </w:p>
    <w:p>
      <w:pPr>
        <w:pStyle w:val="ListParagraph"/>
        <w:numPr>
          <w:ilvl w:val="0"/>
          <w:numId w:val="3"/>
        </w:numPr>
        <w:spacing w:after="80"/>
      </w:pPr>
      <w:r>
        <w:rPr>
          <w:b/>
          <w:bCs/>
        </w:rPr>
        <w:t xml:space="preserve">Club activation, not club acquisition. </w:t>
      </w:r>
      <w:r>
        <w:t xml:space="preserve">Signing a free club is easy; getting volunteers to actively promote the app is the real work. Build an activation playbook and track conversion per club, not just club count.</w:t>
      </w:r>
    </w:p>
    <w:p>
      <w:pPr>
        <w:pStyle w:val="ListParagraph"/>
        <w:numPr>
          <w:ilvl w:val="0"/>
          <w:numId w:val="3"/>
        </w:numPr>
        <w:spacing w:after="80"/>
      </w:pPr>
      <w:r>
        <w:rPr>
          <w:b/>
          <w:bCs/>
        </w:rPr>
        <w:t xml:space="preserve">Is 30% enough to motivate the club? </w:t>
      </w:r>
      <w:r>
        <w:t xml:space="preserve">At low volume the club share is small; ensure the incentive (plus recognition, leaderboards, club branding) is enough that promoting the app is worth a volunteer's time.</w:t>
      </w:r>
    </w:p>
    <w:p>
      <w:pPr>
        <w:pStyle w:val="ListParagraph"/>
        <w:numPr>
          <w:ilvl w:val="0"/>
          <w:numId w:val="3"/>
        </w:numPr>
        <w:spacing w:after="80"/>
      </w:pPr>
      <w:r>
        <w:rPr>
          <w:b/>
          <w:bCs/>
        </w:rPr>
        <w:t xml:space="preserve">Customer acquisition cost. </w:t>
      </w:r>
      <w:r>
        <w:t xml:space="preserve">Without upfront licence revenue, NextGen funds growth from subscriptions alone - keep blended CAC well below the ~$84/yr per-athlete contribution, and lean on clubs as a low-cost acquisition channel.</w:t>
      </w:r>
    </w:p>
    <w:p>
      <w:pPr>
        <w:spacing w:after="130"/>
      </w:pPr>
      <w:r>
        <w:rPr>
          <w:i/>
          <w:iCs/>
          <w:color w:val="595959"/>
        </w:rPr>
        <w:t xml:space="preserve">See the accompanying Excel model for the live, adjustable version of these scenarios and the club-earnings sensitivity.</w:t>
      </w:r>
    </w:p>
    <w:p>
      <w:pPr>
        <w:pStyle w:val="Heading1"/>
      </w:pPr>
      <w:r>
        <w:t xml:space="preserve">6. Verdict &amp; Recommended Next Steps</w:t>
      </w:r>
    </w:p>
    <w:p>
      <w:pPr>
        <w:spacing w:after="130"/>
      </w:pPr>
      <w:r>
        <w:rPr>
          <w:b/>
          <w:bCs/>
          <w:color w:val="2C5F2D"/>
        </w:rPr>
        <w:t xml:space="preserve">Verdict: PROCEED WITH FOCUS. </w:t>
      </w:r>
      <w:r>
        <w:t xml:space="preserve">The free-to-club, 70/30 model resolves the original plan's biggest weakness - the hard licence sale to volunteer clubs - and improves NextGen's per-athlete economics at the same time. The concept, market, price point and sport choice were already sound; the model is now sound too. What remains is execution risk concentrated in one place: parent conversion. Focus there.</w:t>
      </w:r>
    </w:p>
    <w:p>
      <w:pPr>
        <w:pStyle w:val="ListParagraph"/>
        <w:numPr>
          <w:ilvl w:val="0"/>
          <w:numId w:val="3"/>
        </w:numPr>
        <w:spacing w:after="80"/>
      </w:pPr>
      <w:r>
        <w:rPr>
          <w:b/>
          <w:bCs/>
        </w:rPr>
        <w:t xml:space="preserve">Run a parent-first acquisition motion, </w:t>
      </w:r>
      <w:r>
        <w:t xml:space="preserve">with clubs as the credibility and distribution channel. Validate with 3-5 club conversations that clubs will actively promote a free, revenue-sharing product.</w:t>
      </w:r>
    </w:p>
    <w:p>
      <w:pPr>
        <w:pStyle w:val="ListParagraph"/>
        <w:numPr>
          <w:ilvl w:val="0"/>
          <w:numId w:val="3"/>
        </w:numPr>
        <w:spacing w:after="80"/>
      </w:pPr>
      <w:r>
        <w:rPr>
          <w:b/>
          <w:bCs/>
        </w:rPr>
        <w:t xml:space="preserve">Plan to the realistic base case </w:t>
      </w:r>
      <w:r>
        <w:t xml:space="preserve">(Scenario B, ~$453k at Year 3) and treat the ambition case as upside. Make parent conversion the headline KPI, measured per club.</w:t>
      </w:r>
    </w:p>
    <w:p>
      <w:pPr>
        <w:pStyle w:val="ListParagraph"/>
        <w:numPr>
          <w:ilvl w:val="0"/>
          <w:numId w:val="3"/>
        </w:numPr>
        <w:spacing w:after="80"/>
      </w:pPr>
      <w:r>
        <w:rPr>
          <w:b/>
          <w:bCs/>
        </w:rPr>
        <w:t xml:space="preserve">Define the moat beyond AI coaching. </w:t>
      </w:r>
      <w:r>
        <w:t xml:space="preserve">Lean into the club/athlete engagement loop and gamification, which are harder to copy than the AI itself and reinforce the club-as-channel advantage.</w:t>
      </w:r>
    </w:p>
    <w:p>
      <w:pPr>
        <w:pStyle w:val="ListParagraph"/>
        <w:numPr>
          <w:ilvl w:val="0"/>
          <w:numId w:val="3"/>
        </w:numPr>
        <w:spacing w:after="80"/>
      </w:pPr>
      <w:r>
        <w:rPr>
          <w:b/>
          <w:bCs/>
        </w:rPr>
        <w:t xml:space="preserve">Engineer club activation, not just sign-ups. </w:t>
      </w:r>
      <w:r>
        <w:t xml:space="preserve">Give clubs the tools, incentive and recognition to actively push the app - the 30% share, club branding, and leaderboards - so a free club becomes a converting club.</w:t>
      </w:r>
    </w:p>
    <w:p>
      <w:pPr>
        <w:pStyle w:val="Heading1"/>
      </w:pPr>
      <w:r>
        <w:t xml:space="preserve">7. Sources</w:t>
      </w:r>
    </w:p>
    <w:p>
      <w:pPr>
        <w:pStyle w:val="ListParagraph"/>
        <w:numPr>
          <w:ilvl w:val="0"/>
          <w:numId w:val="2"/>
        </w:numPr>
        <w:spacing w:after="60"/>
      </w:pPr>
      <w:hyperlink w:history="1" r:id="rIdxtz6itybwjpb1duwv8mxo">
        <w:r>
          <w:rPr>
            <w:rStyle w:val="Hyperlink"/>
            <w:sz w:val="18"/>
            <w:szCs w:val="18"/>
          </w:rPr>
          <w:t xml:space="preserve">Australian Sports Commission — Children &amp; Youth in Sport</w:t>
        </w:r>
      </w:hyperlink>
    </w:p>
    <w:p>
      <w:pPr>
        <w:pStyle w:val="ListParagraph"/>
        <w:numPr>
          <w:ilvl w:val="0"/>
          <w:numId w:val="2"/>
        </w:numPr>
        <w:spacing w:after="60"/>
      </w:pPr>
      <w:hyperlink w:history="1" r:id="rIdsmvxez0crgw2xjheiaj65">
        <w:r>
          <w:rPr>
            <w:rStyle w:val="Hyperlink"/>
            <w:sz w:val="18"/>
            <w:szCs w:val="18"/>
          </w:rPr>
          <w:t xml:space="preserve">NRL — 2024 record participation</w:t>
        </w:r>
      </w:hyperlink>
    </w:p>
    <w:p>
      <w:pPr>
        <w:pStyle w:val="ListParagraph"/>
        <w:numPr>
          <w:ilvl w:val="0"/>
          <w:numId w:val="2"/>
        </w:numPr>
        <w:spacing w:after="60"/>
      </w:pPr>
      <w:hyperlink w:history="1" r:id="rId6c6fmyzo0p0xjpoizpggs">
        <w:r>
          <w:rPr>
            <w:rStyle w:val="Hyperlink"/>
            <w:sz w:val="18"/>
            <w:szCs w:val="18"/>
          </w:rPr>
          <w:t xml:space="preserve">Soccer in Australia — participation</w:t>
        </w:r>
      </w:hyperlink>
    </w:p>
    <w:p>
      <w:pPr>
        <w:pStyle w:val="ListParagraph"/>
        <w:numPr>
          <w:ilvl w:val="0"/>
          <w:numId w:val="2"/>
        </w:numPr>
        <w:spacing w:after="60"/>
      </w:pPr>
      <w:hyperlink w:history="1" r:id="rIdpnmjqyb9nussojggfcbas">
        <w:r>
          <w:rPr>
            <w:rStyle w:val="Hyperlink"/>
            <w:sz w:val="18"/>
            <w:szCs w:val="18"/>
          </w:rPr>
          <w:t xml:space="preserve">Compare the Market — cost of kids' sport</w:t>
        </w:r>
      </w:hyperlink>
    </w:p>
    <w:p>
      <w:pPr>
        <w:pStyle w:val="ListParagraph"/>
        <w:numPr>
          <w:ilvl w:val="0"/>
          <w:numId w:val="2"/>
        </w:numPr>
        <w:spacing w:after="60"/>
      </w:pPr>
      <w:hyperlink w:history="1" r:id="rIdgnuotggef3njy2if-z-7_">
        <w:r>
          <w:rPr>
            <w:rStyle w:val="Hyperlink"/>
            <w:sz w:val="18"/>
            <w:szCs w:val="18"/>
          </w:rPr>
          <w:t xml:space="preserve">ASC — cost as a participation factor</w:t>
        </w:r>
      </w:hyperlink>
    </w:p>
    <w:p>
      <w:pPr>
        <w:pStyle w:val="ListParagraph"/>
        <w:numPr>
          <w:ilvl w:val="0"/>
          <w:numId w:val="2"/>
        </w:numPr>
        <w:spacing w:after="60"/>
      </w:pPr>
      <w:hyperlink w:history="1" r:id="rIdwglv0rdi_nhvz7x6xegld">
        <w:r>
          <w:rPr>
            <w:rStyle w:val="Hyperlink"/>
            <w:sz w:val="18"/>
            <w:szCs w:val="18"/>
          </w:rPr>
          <w:t xml:space="preserve">PlayHQ — about</w:t>
        </w:r>
      </w:hyperlink>
    </w:p>
    <w:p>
      <w:pPr>
        <w:pStyle w:val="ListParagraph"/>
        <w:numPr>
          <w:ilvl w:val="0"/>
          <w:numId w:val="2"/>
        </w:numPr>
        <w:spacing w:after="60"/>
      </w:pPr>
      <w:hyperlink w:history="1" r:id="rId6h24xc8rwd-knjo1mhsba">
        <w:r>
          <w:rPr>
            <w:rStyle w:val="Hyperlink"/>
            <w:sz w:val="18"/>
            <w:szCs w:val="18"/>
          </w:rPr>
          <w:t xml:space="preserve">Dribl</w:t>
        </w:r>
      </w:hyperlink>
    </w:p>
    <w:p>
      <w:pPr>
        <w:pStyle w:val="ListParagraph"/>
        <w:numPr>
          <w:ilvl w:val="0"/>
          <w:numId w:val="2"/>
        </w:numPr>
        <w:spacing w:after="60"/>
      </w:pPr>
      <w:hyperlink w:history="1" r:id="rIdow3hwljbphtoxyb-r_4do">
        <w:r>
          <w:rPr>
            <w:rStyle w:val="Hyperlink"/>
            <w:sz w:val="18"/>
            <w:szCs w:val="18"/>
          </w:rPr>
          <w:t xml:space="preserve">MySideline (Play Rugby League)</w:t>
        </w:r>
      </w:hyperlink>
    </w:p>
    <w:p>
      <w:pPr>
        <w:pStyle w:val="ListParagraph"/>
        <w:numPr>
          <w:ilvl w:val="0"/>
          <w:numId w:val="2"/>
        </w:numPr>
        <w:spacing w:after="60"/>
      </w:pPr>
      <w:hyperlink w:history="1" r:id="rId5qar65ehim3g93lwvq9jx">
        <w:r>
          <w:rPr>
            <w:rStyle w:val="Hyperlink"/>
            <w:sz w:val="18"/>
            <w:szCs w:val="18"/>
          </w:rPr>
          <w:t xml:space="preserve">Squadi registrations</w:t>
        </w:r>
      </w:hyperlink>
    </w:p>
    <w:p>
      <w:pPr>
        <w:pStyle w:val="ListParagraph"/>
        <w:numPr>
          <w:ilvl w:val="0"/>
          <w:numId w:val="2"/>
        </w:numPr>
        <w:spacing w:after="60"/>
      </w:pPr>
      <w:hyperlink w:history="1" r:id="rIdxa4k9ntxpwrd2ziwkxjez">
        <w:r>
          <w:rPr>
            <w:rStyle w:val="Hyperlink"/>
            <w:sz w:val="18"/>
            <w:szCs w:val="18"/>
          </w:rPr>
          <w:t xml:space="preserve">Techne Futbol</w:t>
        </w:r>
      </w:hyperlink>
    </w:p>
    <w:p>
      <w:pPr>
        <w:pStyle w:val="ListParagraph"/>
        <w:numPr>
          <w:ilvl w:val="0"/>
          <w:numId w:val="2"/>
        </w:numPr>
        <w:spacing w:after="60"/>
      </w:pPr>
      <w:hyperlink w:history="1" r:id="rIdwjrcpdwidzpgviqrzix-a">
        <w:r>
          <w:rPr>
            <w:rStyle w:val="Hyperlink"/>
            <w:sz w:val="18"/>
            <w:szCs w:val="18"/>
          </w:rPr>
          <w:t xml:space="preserve">TeamSnap</w:t>
        </w:r>
      </w:hyperlink>
    </w:p>
    <w:p>
      <w:pPr>
        <w:pStyle w:val="ListParagraph"/>
        <w:numPr>
          <w:ilvl w:val="0"/>
          <w:numId w:val="2"/>
        </w:numPr>
        <w:spacing w:after="60"/>
      </w:pPr>
      <w:hyperlink w:history="1" r:id="rId6eoxkt2zau2b-9d65dxj0">
        <w:r>
          <w:rPr>
            <w:rStyle w:val="Hyperlink"/>
            <w:sz w:val="18"/>
            <w:szCs w:val="18"/>
          </w:rPr>
          <w:t xml:space="preserve">Frontiers — costs of community sport in Australia</w:t>
        </w:r>
      </w:hyperlink>
    </w:p>
    <w:p>
      <w:pPr>
        <w:pStyle w:val="ListParagraph"/>
        <w:numPr>
          <w:ilvl w:val="0"/>
          <w:numId w:val="2"/>
        </w:numPr>
        <w:spacing w:after="60"/>
      </w:pPr>
      <w:hyperlink w:history="1" r:id="rIdtxzmyjanjfxzcj0lzrffa">
        <w:r>
          <w:rPr>
            <w:rStyle w:val="Hyperlink"/>
            <w:sz w:val="18"/>
            <w:szCs w:val="18"/>
          </w:rPr>
          <w:t xml:space="preserve">TidyHQ — economic value of volunteering in Australian sport</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NextGen Athlete — Business Case Validation   •   Confidential   •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Georgia" w:cs="Georgia" w:eastAsia="Georgia" w:hAnsi="Georgia"/>
      <w:b/>
      <w:bCs/>
      <w:color w:val="1E2761"/>
      <w:sz w:val="30"/>
      <w:szCs w:val="30"/>
    </w:rPr>
  </w:style>
  <w:style w:type="paragraph" w:styleId="Heading2">
    <w:name w:val="Heading 2"/>
    <w:basedOn w:val="Normal"/>
    <w:next w:val="Normal"/>
    <w:qFormat/>
    <w:pPr>
      <w:spacing w:after="90" w:before="200"/>
      <w:outlineLvl w:val="1"/>
    </w:pPr>
    <w:rPr>
      <w:rFonts w:ascii="Arial" w:cs="Arial" w:eastAsia="Arial" w:hAnsi="Arial"/>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tz6itybwjpb1duwv8mxo" Type="http://schemas.openxmlformats.org/officeDocument/2006/relationships/hyperlink" Target="https://www.ausport.gov.au/clearinghouse/evidence/children-and-youth-in-sport" TargetMode="External"/><Relationship Id="rIdsmvxez0crgw2xjheiaj65" Type="http://schemas.openxmlformats.org/officeDocument/2006/relationships/hyperlink" Target="https://www.nrl.com/news/2025/02/21/record-participation-reinforces-foundations-for-future-success/" TargetMode="External"/><Relationship Id="rId6c6fmyzo0p0xjpoizpggs" Type="http://schemas.openxmlformats.org/officeDocument/2006/relationships/hyperlink" Target="https://en.wikipedia.org/wiki/Soccer_in_Australia" TargetMode="External"/><Relationship Id="rIdpnmjqyb9nussojggfcbas" Type="http://schemas.openxmlformats.org/officeDocument/2006/relationships/hyperlink" Target="https://www.comparethemarket.com.au/blog/money/how-much-is-sport-costing-aussie-families-and-children/" TargetMode="External"/><Relationship Id="rIdgnuotggef3njy2if-z-7_" Type="http://schemas.openxmlformats.org/officeDocument/2006/relationships/hyperlink" Target="https://www.ausport.gov.au/clearinghouse/evidence/children-and-youth-in-sport/factors/cost" TargetMode="External"/><Relationship Id="rIdwglv0rdi_nhvz7x6xegld" Type="http://schemas.openxmlformats.org/officeDocument/2006/relationships/hyperlink" Target="https://get.playhq.com/about-us" TargetMode="External"/><Relationship Id="rId6h24xc8rwd-knjo1mhsba" Type="http://schemas.openxmlformats.org/officeDocument/2006/relationships/hyperlink" Target="https://dribl.com/" TargetMode="External"/><Relationship Id="rIdow3hwljbphtoxyb-r_4do" Type="http://schemas.openxmlformats.org/officeDocument/2006/relationships/hyperlink" Target="https://www.playrugbyleague.com/mysideline/" TargetMode="External"/><Relationship Id="rId5qar65ehim3g93lwvq9jx" Type="http://schemas.openxmlformats.org/officeDocument/2006/relationships/hyperlink" Target="https://squadi.com/squadi-registrations/" TargetMode="External"/><Relationship Id="rIdxa4k9ntxpwrd2ziwkxjez" Type="http://schemas.openxmlformats.org/officeDocument/2006/relationships/hyperlink" Target="https://www.technefutbol.com/" TargetMode="External"/><Relationship Id="rIdwjrcpdwidzpgviqrzix-a" Type="http://schemas.openxmlformats.org/officeDocument/2006/relationships/hyperlink" Target="https://www.teamsnap.com/" TargetMode="External"/><Relationship Id="rId6eoxkt2zau2b-9d65dxj0" Type="http://schemas.openxmlformats.org/officeDocument/2006/relationships/hyperlink" Target="https://www.frontiersin.org/journals/sports-and-active-living/articles/10.3389/fspor.2025.1641527/full" TargetMode="External"/><Relationship Id="rIdtxzmyjanjfxzcj0lzrffa" Type="http://schemas.openxmlformats.org/officeDocument/2006/relationships/hyperlink" Target="https://tidyhq.com/blog/the-economic-value-of-volunteering-in-australian-sport"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NextGen Athlete — Business Case Validation</dc:title>
  <dc:creator>NextGen Athlete</dc:creator>
  <cp:lastModifiedBy>Un-named</cp:lastModifiedBy>
  <cp:revision>1</cp:revision>
  <dcterms:created xsi:type="dcterms:W3CDTF">2026-06-18T08:43:31.743Z</dcterms:created>
  <dcterms:modified xsi:type="dcterms:W3CDTF">2026-06-18T08:43:31.744Z</dcterms:modified>
</cp:coreProperties>
</file>

<file path=docProps/custom.xml><?xml version="1.0" encoding="utf-8"?>
<Properties xmlns="http://schemas.openxmlformats.org/officeDocument/2006/custom-properties" xmlns:vt="http://schemas.openxmlformats.org/officeDocument/2006/docPropsVTypes"/>
</file>