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Athlete - Business Case &amp; Investment Memorandum</w:t>
      </w:r>
    </w:p>
    <w:p>
      <w:r>
        <w:t>AI-powered youth athlete development platform combining training, gamification, club engagement and AI coaching.</w:t>
      </w:r>
    </w:p>
    <w:p>
      <w:pPr>
        <w:pStyle w:val="Heading1"/>
      </w:pPr>
      <w:r>
        <w:t>Business Model</w:t>
      </w:r>
    </w:p>
    <w:p>
      <w:r>
        <w:t>Club licences ($2,500-$10,000/year), athlete subscriptions ($9.99/month), 60/40 club revenue share.</w:t>
      </w:r>
    </w:p>
    <w:p>
      <w:pPr>
        <w:pStyle w:val="Heading1"/>
      </w:pPr>
      <w:r>
        <w:t>Growth Plan</w:t>
      </w:r>
    </w:p>
    <w:p>
      <w:r>
        <w:t>Year 1: 5 clubs, 500 athletes. Year 2: 50 clubs, 5,000 athletes. Year 3: 200 clubs, 25,000 athletes.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