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spacing w:line="360" w:lineRule="auto"/>
        <w:jc w:val="right"/>
        <w:rPr>
          <w:rFonts w:hint="eastAsia" w:ascii="仿宋" w:hAnsi="仿宋" w:eastAsia="仿宋" w:cs="仿宋"/>
          <w:b/>
          <w:bCs/>
          <w:sz w:val="52"/>
          <w:szCs w:val="52"/>
          <w:lang w:val="en-US" w:eastAsia="zh-CN"/>
        </w:rPr>
      </w:pPr>
      <w:r>
        <w:rPr>
          <w:rFonts w:hint="eastAsia" w:ascii="仿宋" w:hAnsi="仿宋" w:eastAsia="仿宋" w:cs="仿宋"/>
          <w:b/>
          <w:bCs/>
          <w:sz w:val="52"/>
          <w:szCs w:val="52"/>
          <w:lang w:val="en-US" w:eastAsia="zh-CN"/>
        </w:rPr>
        <w:t>生之园安全预警系统</w:t>
      </w:r>
    </w:p>
    <w:p>
      <w:pPr>
        <w:spacing w:line="360" w:lineRule="auto"/>
        <w:jc w:val="right"/>
        <w:rPr>
          <w:rFonts w:hint="eastAsia" w:ascii="仿宋" w:hAnsi="仿宋" w:eastAsia="仿宋" w:cs="仿宋"/>
          <w:b/>
          <w:bCs/>
          <w:sz w:val="36"/>
          <w:szCs w:val="36"/>
          <w:lang w:eastAsia="zh-CN"/>
        </w:rPr>
      </w:pPr>
      <w:r>
        <w:rPr>
          <w:rFonts w:hint="eastAsia" w:ascii="仿宋" w:hAnsi="仿宋" w:eastAsia="仿宋" w:cs="仿宋"/>
          <w:b/>
          <w:bCs/>
          <w:sz w:val="40"/>
          <w:szCs w:val="40"/>
          <w:lang w:val="en-US" w:eastAsia="zh-CN"/>
        </w:rPr>
        <w:t>功能、页面结构及明细</w:t>
      </w:r>
    </w:p>
    <w:p>
      <w:pPr>
        <w:spacing w:line="360" w:lineRule="auto"/>
        <w:jc w:val="right"/>
        <w:rPr>
          <w:rFonts w:hint="eastAsia" w:ascii="仿宋" w:hAnsi="仿宋" w:eastAsia="仿宋" w:cs="仿宋"/>
          <w:b/>
          <w:bCs/>
          <w:sz w:val="36"/>
          <w:szCs w:val="36"/>
        </w:rPr>
      </w:pPr>
    </w:p>
    <w:p>
      <w:pPr>
        <w:spacing w:line="360" w:lineRule="auto"/>
        <w:jc w:val="right"/>
        <w:rPr>
          <w:rFonts w:hint="eastAsia" w:ascii="仿宋" w:hAnsi="仿宋" w:eastAsia="仿宋" w:cs="仿宋"/>
          <w:b/>
          <w:bCs/>
          <w:sz w:val="36"/>
          <w:szCs w:val="36"/>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tbl>
      <w:tblPr>
        <w:tblStyle w:val="5"/>
        <w:tblpPr w:leftFromText="180" w:rightFromText="180" w:vertAnchor="text" w:horzAnchor="page" w:tblpX="1463" w:tblpY="280"/>
        <w:tblOverlap w:val="never"/>
        <w:tblW w:w="8320" w:type="dxa"/>
        <w:tblInd w:w="0" w:type="dxa"/>
        <w:tblLayout w:type="fixed"/>
        <w:tblCellMar>
          <w:top w:w="0" w:type="dxa"/>
          <w:left w:w="0" w:type="dxa"/>
          <w:bottom w:w="0" w:type="dxa"/>
          <w:right w:w="0" w:type="dxa"/>
        </w:tblCellMar>
      </w:tblPr>
      <w:tblGrid>
        <w:gridCol w:w="3816"/>
        <w:gridCol w:w="4504"/>
      </w:tblGrid>
      <w:tr>
        <w:tblPrEx>
          <w:tblLayout w:type="fixed"/>
          <w:tblCellMar>
            <w:top w:w="0" w:type="dxa"/>
            <w:left w:w="0" w:type="dxa"/>
            <w:bottom w:w="0" w:type="dxa"/>
            <w:right w:w="0" w:type="dxa"/>
          </w:tblCellMar>
        </w:tblPrEx>
        <w:trPr>
          <w:trHeight w:val="1288" w:hRule="atLeast"/>
        </w:trPr>
        <w:tc>
          <w:tcPr>
            <w:tcW w:w="3816" w:type="dxa"/>
            <w:tcBorders>
              <w:top w:val="single" w:color="FFFFFF" w:sz="8" w:space="0"/>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客户：</w:t>
            </w:r>
          </w:p>
        </w:tc>
        <w:tc>
          <w:tcPr>
            <w:tcW w:w="4504" w:type="dxa"/>
            <w:tcBorders>
              <w:top w:val="single" w:color="FFFFFF" w:sz="8" w:space="0"/>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杜治国</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项目：</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val="en-US" w:eastAsia="zh-CN"/>
              </w:rPr>
            </w:pPr>
            <w:r>
              <w:rPr>
                <w:rFonts w:hint="eastAsia" w:ascii="仿宋" w:hAnsi="仿宋" w:eastAsia="仿宋" w:cs="仿宋"/>
                <w:b/>
                <w:bCs/>
                <w:kern w:val="0"/>
                <w:sz w:val="32"/>
                <w:szCs w:val="32"/>
                <w:lang w:val="en-US" w:eastAsia="zh-CN"/>
              </w:rPr>
              <w:t>生之园安全预警系统</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版本：</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1.</w:t>
            </w:r>
            <w:r>
              <w:rPr>
                <w:rFonts w:hint="eastAsia" w:ascii="仿宋" w:hAnsi="仿宋" w:eastAsia="仿宋" w:cs="仿宋"/>
                <w:b/>
                <w:bCs/>
                <w:kern w:val="0"/>
                <w:sz w:val="32"/>
                <w:szCs w:val="32"/>
                <w:lang w:val="en-US" w:eastAsia="zh-CN"/>
              </w:rPr>
              <w:t>0.0</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最后修改日期：</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rPr>
              <w:t>201</w:t>
            </w:r>
            <w:r>
              <w:rPr>
                <w:rFonts w:hint="eastAsia" w:ascii="仿宋" w:hAnsi="仿宋" w:eastAsia="仿宋" w:cs="仿宋"/>
                <w:b/>
                <w:bCs/>
                <w:kern w:val="0"/>
                <w:sz w:val="32"/>
                <w:szCs w:val="32"/>
                <w:lang w:val="en-US" w:eastAsia="zh-CN"/>
              </w:rPr>
              <w:t>7</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02</w:t>
            </w:r>
            <w:r>
              <w:rPr>
                <w:rFonts w:hint="eastAsia" w:ascii="仿宋" w:hAnsi="仿宋" w:eastAsia="仿宋" w:cs="仿宋"/>
                <w:b/>
                <w:bCs/>
                <w:kern w:val="0"/>
                <w:sz w:val="32"/>
                <w:szCs w:val="32"/>
              </w:rPr>
              <w:t>/</w:t>
            </w:r>
            <w:r>
              <w:rPr>
                <w:rFonts w:hint="eastAsia" w:ascii="仿宋" w:hAnsi="仿宋" w:eastAsia="仿宋" w:cs="仿宋"/>
                <w:b/>
                <w:bCs/>
                <w:kern w:val="0"/>
                <w:sz w:val="32"/>
                <w:szCs w:val="32"/>
                <w:lang w:val="en-US" w:eastAsia="zh-CN"/>
              </w:rPr>
              <w:t>22</w:t>
            </w:r>
          </w:p>
        </w:tc>
      </w:tr>
      <w:tr>
        <w:tblPrEx>
          <w:tblLayout w:type="fixed"/>
          <w:tblCellMar>
            <w:top w:w="0" w:type="dxa"/>
            <w:left w:w="0" w:type="dxa"/>
            <w:bottom w:w="0" w:type="dxa"/>
            <w:right w:w="0" w:type="dxa"/>
          </w:tblCellMar>
        </w:tblPrEx>
        <w:trPr>
          <w:trHeight w:val="66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Status：</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rPr>
            </w:pPr>
            <w:r>
              <w:rPr>
                <w:rFonts w:hint="eastAsia" w:ascii="仿宋" w:hAnsi="仿宋" w:eastAsia="仿宋" w:cs="仿宋"/>
                <w:b/>
                <w:bCs/>
                <w:kern w:val="0"/>
                <w:sz w:val="32"/>
                <w:szCs w:val="32"/>
                <w:lang w:val="en-US" w:eastAsia="zh-CN"/>
              </w:rPr>
              <w:t>alpha</w:t>
            </w:r>
            <w:r>
              <w:rPr>
                <w:rFonts w:hint="eastAsia" w:ascii="仿宋" w:hAnsi="仿宋" w:eastAsia="仿宋" w:cs="仿宋"/>
                <w:b/>
                <w:bCs/>
                <w:kern w:val="0"/>
                <w:sz w:val="32"/>
                <w:szCs w:val="32"/>
              </w:rPr>
              <w:t xml:space="preserve"> 1</w:t>
            </w:r>
            <w:r>
              <w:rPr>
                <w:rFonts w:hint="eastAsia" w:ascii="仿宋" w:hAnsi="仿宋" w:eastAsia="仿宋" w:cs="仿宋"/>
                <w:b/>
                <w:bCs/>
                <w:kern w:val="0"/>
                <w:sz w:val="32"/>
                <w:szCs w:val="32"/>
                <w:lang w:val="en-US" w:eastAsia="zh-CN"/>
              </w:rPr>
              <w:t>.0</w:t>
            </w:r>
          </w:p>
        </w:tc>
      </w:tr>
      <w:tr>
        <w:tblPrEx>
          <w:tblLayout w:type="fixed"/>
          <w:tblCellMar>
            <w:top w:w="0" w:type="dxa"/>
            <w:left w:w="0" w:type="dxa"/>
            <w:bottom w:w="0" w:type="dxa"/>
            <w:right w:w="0" w:type="dxa"/>
          </w:tblCellMar>
        </w:tblPrEx>
        <w:trPr>
          <w:trHeight w:val="704" w:hRule="atLeast"/>
        </w:trPr>
        <w:tc>
          <w:tcPr>
            <w:tcW w:w="3816" w:type="dxa"/>
            <w:tcBorders>
              <w:top w:val="nil"/>
              <w:left w:val="single" w:color="FFFFFF" w:sz="8" w:space="0"/>
              <w:bottom w:val="single" w:color="FFFFFF" w:sz="8" w:space="0"/>
              <w:right w:val="single" w:color="auto"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right"/>
              <w:rPr>
                <w:rFonts w:hint="eastAsia" w:ascii="仿宋" w:hAnsi="仿宋" w:eastAsia="仿宋" w:cs="仿宋"/>
                <w:b/>
                <w:bCs/>
                <w:kern w:val="0"/>
                <w:sz w:val="32"/>
                <w:szCs w:val="32"/>
              </w:rPr>
            </w:pPr>
            <w:r>
              <w:rPr>
                <w:rFonts w:hint="eastAsia" w:ascii="仿宋" w:hAnsi="仿宋" w:eastAsia="仿宋" w:cs="仿宋"/>
                <w:b/>
                <w:bCs/>
                <w:kern w:val="0"/>
                <w:sz w:val="32"/>
                <w:szCs w:val="32"/>
              </w:rPr>
              <w:t>作者：</w:t>
            </w:r>
          </w:p>
        </w:tc>
        <w:tc>
          <w:tcPr>
            <w:tcW w:w="4504" w:type="dxa"/>
            <w:tcBorders>
              <w:top w:val="nil"/>
              <w:left w:val="nil"/>
              <w:bottom w:val="single" w:color="FFFFFF" w:sz="8" w:space="0"/>
              <w:right w:val="single" w:color="FFFFFF" w:sz="8" w:space="0"/>
            </w:tcBorders>
            <w:tcMar>
              <w:top w:w="0" w:type="dxa"/>
              <w:left w:w="28" w:type="dxa"/>
              <w:bottom w:w="0" w:type="dxa"/>
              <w:right w:w="28" w:type="dxa"/>
            </w:tcMar>
            <w:vAlign w:val="center"/>
          </w:tcPr>
          <w:p>
            <w:pPr>
              <w:keepNext w:val="0"/>
              <w:keepLines w:val="0"/>
              <w:widowControl/>
              <w:suppressLineNumbers w:val="0"/>
              <w:spacing w:before="0" w:beforeAutospacing="0" w:after="0" w:afterAutospacing="0" w:line="360" w:lineRule="auto"/>
              <w:ind w:left="0" w:right="0"/>
              <w:jc w:val="both"/>
              <w:rPr>
                <w:rFonts w:hint="eastAsia" w:ascii="仿宋" w:hAnsi="仿宋" w:eastAsia="仿宋" w:cs="仿宋"/>
                <w:b/>
                <w:bCs/>
                <w:kern w:val="0"/>
                <w:sz w:val="32"/>
                <w:szCs w:val="32"/>
                <w:lang w:eastAsia="zh-CN"/>
              </w:rPr>
            </w:pPr>
            <w:r>
              <w:rPr>
                <w:rFonts w:hint="eastAsia" w:ascii="仿宋" w:hAnsi="仿宋" w:eastAsia="仿宋" w:cs="仿宋"/>
                <w:b/>
                <w:bCs/>
                <w:kern w:val="0"/>
                <w:sz w:val="32"/>
                <w:szCs w:val="32"/>
                <w:lang w:val="en-US" w:eastAsia="zh-CN"/>
              </w:rPr>
              <w:t>苏锐佳</w:t>
            </w:r>
          </w:p>
        </w:tc>
      </w:tr>
    </w:tbl>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Pr>
        <w:numPr>
          <w:ilvl w:val="0"/>
          <w:numId w:val="0"/>
        </w:numPr>
        <w:spacing w:line="360" w:lineRule="auto"/>
        <w:rPr>
          <w:rFonts w:hint="eastAsia" w:ascii="仿宋" w:hAnsi="仿宋" w:eastAsia="仿宋" w:cs="仿宋"/>
          <w:lang w:val="en-US" w:eastAsia="zh-CN"/>
        </w:rPr>
      </w:pPr>
    </w:p>
    <w:p/>
    <w:p>
      <w:pPr>
        <w:numPr>
          <w:ilvl w:val="0"/>
          <w:numId w:val="0"/>
        </w:numPr>
        <w:spacing w:line="360" w:lineRule="auto"/>
        <w:rPr>
          <w:rFonts w:hint="eastAsia" w:ascii="仿宋" w:hAnsi="仿宋" w:eastAsia="仿宋" w:cs="仿宋"/>
          <w:lang w:val="en-US" w:eastAsia="zh-CN"/>
        </w:rPr>
      </w:pPr>
    </w:p>
    <w:p>
      <w:pPr>
        <w:snapToGrid w:val="0"/>
        <w:jc w:val="center"/>
        <w:rPr>
          <w:rFonts w:hint="eastAsia"/>
        </w:rPr>
      </w:pPr>
      <w:r>
        <w:rPr>
          <w:rFonts w:hint="eastAsia"/>
        </w:rPr>
        <w:t>修订历史记录</w:t>
      </w:r>
    </w:p>
    <w:tbl>
      <w:tblPr>
        <w:tblStyle w:val="5"/>
        <w:tblW w:w="93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00"/>
        <w:gridCol w:w="1120"/>
        <w:gridCol w:w="5320"/>
        <w:gridCol w:w="15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529" w:hRule="atLeast"/>
          <w:tblHeader/>
        </w:trPr>
        <w:tc>
          <w:tcPr>
            <w:tcW w:w="1400" w:type="dxa"/>
            <w:shd w:val="clear" w:color="auto" w:fill="E6E6E6"/>
            <w:vAlign w:val="center"/>
          </w:tcPr>
          <w:p>
            <w:pPr>
              <w:jc w:val="center"/>
              <w:rPr>
                <w:rFonts w:hint="eastAsia" w:ascii="宋体" w:hAnsi="宋体"/>
                <w:b/>
                <w:bCs/>
                <w:szCs w:val="21"/>
              </w:rPr>
            </w:pPr>
            <w:r>
              <w:rPr>
                <w:rFonts w:hint="eastAsia" w:ascii="宋体" w:hAnsi="宋体"/>
                <w:b/>
                <w:bCs/>
                <w:szCs w:val="21"/>
              </w:rPr>
              <w:t>日期</w:t>
            </w:r>
          </w:p>
        </w:tc>
        <w:tc>
          <w:tcPr>
            <w:tcW w:w="1120" w:type="dxa"/>
            <w:shd w:val="clear" w:color="auto" w:fill="E6E6E6"/>
            <w:vAlign w:val="center"/>
          </w:tcPr>
          <w:p>
            <w:pPr>
              <w:jc w:val="center"/>
              <w:rPr>
                <w:rFonts w:hint="eastAsia" w:ascii="宋体" w:hAnsi="宋体"/>
                <w:b/>
                <w:bCs/>
                <w:szCs w:val="21"/>
              </w:rPr>
            </w:pPr>
            <w:r>
              <w:rPr>
                <w:rFonts w:hint="eastAsia" w:ascii="宋体" w:hAnsi="宋体"/>
                <w:b/>
                <w:bCs/>
                <w:szCs w:val="21"/>
              </w:rPr>
              <w:t>版本</w:t>
            </w:r>
          </w:p>
        </w:tc>
        <w:tc>
          <w:tcPr>
            <w:tcW w:w="5320" w:type="dxa"/>
            <w:shd w:val="clear" w:color="auto" w:fill="E6E6E6"/>
            <w:vAlign w:val="center"/>
          </w:tcPr>
          <w:p>
            <w:pPr>
              <w:jc w:val="center"/>
              <w:rPr>
                <w:rFonts w:hint="eastAsia" w:ascii="宋体" w:hAnsi="宋体"/>
                <w:b/>
                <w:bCs/>
                <w:szCs w:val="21"/>
              </w:rPr>
            </w:pPr>
            <w:r>
              <w:rPr>
                <w:rFonts w:hint="eastAsia" w:ascii="宋体" w:hAnsi="宋体"/>
                <w:b/>
                <w:bCs/>
                <w:szCs w:val="21"/>
              </w:rPr>
              <w:t>说明</w:t>
            </w:r>
          </w:p>
        </w:tc>
        <w:tc>
          <w:tcPr>
            <w:tcW w:w="1540" w:type="dxa"/>
            <w:shd w:val="clear" w:color="auto" w:fill="E6E6E6"/>
            <w:vAlign w:val="center"/>
          </w:tcPr>
          <w:p>
            <w:pPr>
              <w:jc w:val="center"/>
              <w:rPr>
                <w:rFonts w:hint="eastAsia" w:ascii="宋体" w:hAnsi="宋体"/>
                <w:b/>
                <w:bCs/>
                <w:szCs w:val="21"/>
              </w:rPr>
            </w:pPr>
            <w:r>
              <w:rPr>
                <w:rFonts w:hint="eastAsia" w:ascii="宋体" w:hAnsi="宋体"/>
                <w:b/>
                <w:bCs/>
                <w:szCs w:val="21"/>
              </w:rPr>
              <w:t>整理人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r>
              <w:rPr>
                <w:rFonts w:hint="eastAsia" w:ascii="宋体" w:hAnsi="宋体"/>
                <w:szCs w:val="21"/>
              </w:rPr>
              <w:t>201</w:t>
            </w:r>
            <w:r>
              <w:rPr>
                <w:rFonts w:hint="eastAsia" w:ascii="宋体" w:hAnsi="宋体"/>
                <w:szCs w:val="21"/>
                <w:lang w:val="en-US" w:eastAsia="zh-CN"/>
              </w:rPr>
              <w:t>7</w:t>
            </w:r>
            <w:r>
              <w:rPr>
                <w:rFonts w:hint="eastAsia" w:ascii="宋体" w:hAnsi="宋体"/>
                <w:szCs w:val="21"/>
              </w:rPr>
              <w:t>-</w:t>
            </w:r>
            <w:r>
              <w:rPr>
                <w:rFonts w:hint="eastAsia" w:ascii="宋体" w:hAnsi="宋体"/>
                <w:szCs w:val="21"/>
                <w:lang w:val="en-US" w:eastAsia="zh-CN"/>
              </w:rPr>
              <w:t>02</w:t>
            </w:r>
            <w:r>
              <w:rPr>
                <w:rFonts w:hint="eastAsia" w:ascii="宋体" w:hAnsi="宋体"/>
                <w:szCs w:val="21"/>
              </w:rPr>
              <w:t>-2</w:t>
            </w:r>
            <w:r>
              <w:rPr>
                <w:rFonts w:hint="eastAsia" w:ascii="宋体" w:hAnsi="宋体"/>
                <w:szCs w:val="21"/>
                <w:lang w:val="en-US" w:eastAsia="zh-CN"/>
              </w:rPr>
              <w:t>2</w:t>
            </w:r>
          </w:p>
        </w:tc>
        <w:tc>
          <w:tcPr>
            <w:tcW w:w="1120" w:type="dxa"/>
            <w:vAlign w:val="center"/>
          </w:tcPr>
          <w:p>
            <w:pPr>
              <w:rPr>
                <w:rFonts w:hint="eastAsia" w:ascii="宋体" w:hAnsi="宋体" w:eastAsiaTheme="minorEastAsia"/>
                <w:szCs w:val="21"/>
                <w:lang w:val="en-US" w:eastAsia="zh-CN"/>
              </w:rPr>
            </w:pPr>
            <w:r>
              <w:rPr>
                <w:rFonts w:hint="eastAsia" w:ascii="宋体" w:hAnsi="宋体"/>
                <w:szCs w:val="21"/>
                <w:lang w:val="en-US" w:eastAsia="zh-CN"/>
              </w:rPr>
              <w:t>1.0.0</w:t>
            </w:r>
          </w:p>
        </w:tc>
        <w:tc>
          <w:tcPr>
            <w:tcW w:w="532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需求初版</w:t>
            </w:r>
          </w:p>
        </w:tc>
        <w:tc>
          <w:tcPr>
            <w:tcW w:w="1540" w:type="dxa"/>
            <w:vAlign w:val="center"/>
          </w:tcPr>
          <w:p>
            <w:pPr>
              <w:pStyle w:val="2"/>
              <w:rPr>
                <w:rFonts w:hint="eastAsia" w:ascii="宋体" w:hAnsi="宋体" w:eastAsiaTheme="minorEastAsia"/>
                <w:szCs w:val="21"/>
                <w:lang w:val="en-US" w:eastAsia="zh-CN"/>
              </w:rPr>
            </w:pPr>
            <w:r>
              <w:rPr>
                <w:rFonts w:hint="eastAsia" w:ascii="宋体" w:hAnsi="宋体"/>
                <w:szCs w:val="21"/>
                <w:lang w:val="en-US" w:eastAsia="zh-CN"/>
              </w:rPr>
              <w:t>苏锐佳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pStyle w:val="2"/>
              <w:rPr>
                <w:rFonts w:hint="eastAsia" w:ascii="宋体" w:hAnsi="宋体" w:eastAsiaTheme="minorEastAsia"/>
                <w:szCs w:val="21"/>
                <w:lang w:val="en-US" w:eastAsia="zh-CN"/>
              </w:rPr>
            </w:pPr>
          </w:p>
        </w:tc>
        <w:tc>
          <w:tcPr>
            <w:tcW w:w="1540" w:type="dxa"/>
            <w:vAlign w:val="center"/>
          </w:tcPr>
          <w:p>
            <w:pPr>
              <w:pStyle w:val="2"/>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eastAsiaTheme="minorEastAsia"/>
                <w:szCs w:val="21"/>
                <w:lang w:val="en-US" w:eastAsia="zh-CN"/>
              </w:rPr>
            </w:pPr>
          </w:p>
        </w:tc>
        <w:tc>
          <w:tcPr>
            <w:tcW w:w="5320" w:type="dxa"/>
            <w:vAlign w:val="center"/>
          </w:tcPr>
          <w:p>
            <w:pPr>
              <w:rPr>
                <w:rFonts w:hint="eastAsia" w:ascii="宋体" w:hAnsi="宋体" w:eastAsiaTheme="minorEastAsia"/>
                <w:szCs w:val="21"/>
                <w:lang w:val="en-US" w:eastAsia="zh-CN"/>
              </w:rPr>
            </w:pPr>
          </w:p>
        </w:tc>
        <w:tc>
          <w:tcPr>
            <w:tcW w:w="1540" w:type="dxa"/>
            <w:vAlign w:val="center"/>
          </w:tcPr>
          <w:p>
            <w:pPr>
              <w:rPr>
                <w:rFonts w:hint="eastAsia" w:ascii="宋体" w:hAnsi="宋体" w:eastAsiaTheme="minor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400" w:type="dxa"/>
            <w:vAlign w:val="center"/>
          </w:tcPr>
          <w:p>
            <w:pPr>
              <w:rPr>
                <w:rFonts w:hint="eastAsia" w:ascii="宋体" w:hAnsi="宋体"/>
                <w:szCs w:val="21"/>
              </w:rPr>
            </w:pPr>
          </w:p>
        </w:tc>
        <w:tc>
          <w:tcPr>
            <w:tcW w:w="1120" w:type="dxa"/>
            <w:vAlign w:val="center"/>
          </w:tcPr>
          <w:p>
            <w:pPr>
              <w:rPr>
                <w:rFonts w:hint="eastAsia" w:ascii="宋体" w:hAnsi="宋体"/>
                <w:szCs w:val="21"/>
              </w:rPr>
            </w:pPr>
          </w:p>
        </w:tc>
        <w:tc>
          <w:tcPr>
            <w:tcW w:w="5320" w:type="dxa"/>
            <w:vAlign w:val="center"/>
          </w:tcPr>
          <w:p>
            <w:pPr>
              <w:rPr>
                <w:rFonts w:hint="eastAsia" w:ascii="宋体" w:hAnsi="宋体"/>
                <w:szCs w:val="21"/>
              </w:rPr>
            </w:pPr>
          </w:p>
        </w:tc>
        <w:tc>
          <w:tcPr>
            <w:tcW w:w="1540" w:type="dxa"/>
            <w:vAlign w:val="center"/>
          </w:tcPr>
          <w:p>
            <w:pPr>
              <w:rPr>
                <w:rFonts w:hint="eastAsia" w:ascii="宋体" w:hAnsi="宋体"/>
                <w:szCs w:val="21"/>
              </w:rPr>
            </w:pPr>
          </w:p>
        </w:tc>
      </w:tr>
    </w:tbl>
    <w:p>
      <w:pPr>
        <w:spacing w:line="360" w:lineRule="auto"/>
        <w:jc w:val="both"/>
        <w:outlineLvl w:val="9"/>
        <w:rPr>
          <w:rFonts w:hint="eastAsia" w:ascii="仿宋" w:hAnsi="仿宋" w:eastAsia="仿宋" w:cs="仿宋"/>
          <w:lang w:val="en-US" w:eastAsia="zh-CN"/>
        </w:rPr>
      </w:pPr>
    </w:p>
    <w:p>
      <w:pPr>
        <w:sectPr>
          <w:pgSz w:w="11906" w:h="16838"/>
          <w:pgMar w:top="1440" w:right="1800" w:bottom="1440" w:left="1800" w:header="851" w:footer="992" w:gutter="0"/>
          <w:cols w:space="425" w:num="1"/>
          <w:docGrid w:type="lines" w:linePitch="312" w:charSpace="0"/>
        </w:sect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1 引言</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 项目功能综述</w:t>
      </w:r>
    </w:p>
    <w:p>
      <w:pPr>
        <w:pStyle w:val="3"/>
        <w:keepNext w:val="0"/>
        <w:keepLines w:val="0"/>
        <w:widowControl/>
        <w:suppressLineNumbers w:val="0"/>
        <w:ind w:left="0" w:firstLine="0"/>
        <w:rPr>
          <w:rFonts w:hint="eastAsia" w:ascii="仿宋" w:hAnsi="仿宋" w:eastAsia="仿宋" w:cs="仿宋"/>
          <w:sz w:val="21"/>
          <w:szCs w:val="21"/>
          <w:lang w:val="en-US" w:eastAsia="zh-CN"/>
        </w:rPr>
      </w:pPr>
      <w:r>
        <w:rPr>
          <w:rFonts w:hint="eastAsia" w:ascii="仿宋" w:hAnsi="仿宋" w:eastAsia="仿宋" w:cs="仿宋"/>
          <w:b w:val="0"/>
          <w:i w:val="0"/>
          <w:caps w:val="0"/>
          <w:color w:val="000000"/>
          <w:spacing w:val="0"/>
          <w:sz w:val="21"/>
          <w:szCs w:val="21"/>
          <w:lang w:val="en-US" w:eastAsia="zh-CN"/>
        </w:rPr>
        <w:tab/>
      </w:r>
      <w:r>
        <w:rPr>
          <w:rFonts w:hint="eastAsia" w:ascii="仿宋" w:hAnsi="仿宋" w:eastAsia="仿宋" w:cs="仿宋"/>
          <w:b w:val="0"/>
          <w:i w:val="0"/>
          <w:caps w:val="0"/>
          <w:color w:val="000000"/>
          <w:spacing w:val="0"/>
          <w:sz w:val="21"/>
          <w:szCs w:val="21"/>
        </w:rPr>
        <w:t>根据广东省农业厅每年度的监测数据例构建风险预警数学模型，验证模型的准确性，对风险进行分类，建立畜禽产品安全预警计算机系统。畜禽产品质量安全预警系统是由“预警信息管理子系统”、“预警分析子系统”、“预警反应子系统”三大部分组成。预警信息管理子系统主要管理预警条件和已通报的警情信息及预警对象信息，主要要保证它们的实时性。预警分析子系统主要是实现对新检测的畜禽产品质量的信息加以分析，得出该畜禽产品质量安全与否的结果，以供预警反应子系统使用。预警反应子系统主要是将预警分析子系统所得的警情信息向公众和相关执法部门人员通报，以尽早采取措施，将损失降到最低。</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 范围</w:t>
      </w:r>
    </w:p>
    <w:p>
      <w:pPr>
        <w:spacing w:line="360" w:lineRule="auto"/>
        <w:ind w:firstLine="420" w:firstLineChars="0"/>
        <w:jc w:val="both"/>
        <w:rPr>
          <w:rFonts w:hint="eastAsia" w:ascii="仿宋" w:hAnsi="仿宋" w:eastAsia="仿宋" w:cs="仿宋"/>
          <w:lang w:val="en-US" w:eastAsia="zh-CN"/>
        </w:rPr>
      </w:pPr>
    </w:p>
    <w:p>
      <w:pPr>
        <w:spacing w:line="360" w:lineRule="auto"/>
        <w:jc w:val="both"/>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2 项目概述</w:t>
      </w:r>
    </w:p>
    <w:p>
      <w:pPr>
        <w:spacing w:line="360" w:lineRule="auto"/>
        <w:ind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2.1系统功能</w:t>
      </w:r>
    </w:p>
    <w:p>
      <w:pPr>
        <w:ind w:left="420" w:leftChars="0" w:firstLine="420" w:firstLineChars="0"/>
        <w:rPr>
          <w:rFonts w:hint="eastAsia" w:ascii="仿宋" w:hAnsi="仿宋" w:eastAsia="仿宋" w:cs="仿宋"/>
          <w:b w:val="0"/>
          <w:i w:val="0"/>
          <w:caps w:val="0"/>
          <w:color w:val="000000"/>
          <w:spacing w:val="0"/>
          <w:sz w:val="21"/>
          <w:szCs w:val="21"/>
          <w:lang w:eastAsia="zh-CN"/>
        </w:rPr>
      </w:pPr>
      <w:r>
        <w:rPr>
          <w:rFonts w:hint="eastAsia" w:ascii="仿宋" w:hAnsi="仿宋" w:eastAsia="仿宋" w:cs="仿宋"/>
          <w:b w:val="0"/>
          <w:i w:val="0"/>
          <w:caps w:val="0"/>
          <w:color w:val="000000"/>
          <w:spacing w:val="0"/>
          <w:sz w:val="21"/>
          <w:szCs w:val="21"/>
        </w:rPr>
        <w:t>预警信息管理子系统</w:t>
      </w:r>
      <w:r>
        <w:rPr>
          <w:rFonts w:hint="eastAsia" w:ascii="仿宋" w:hAnsi="仿宋" w:eastAsia="仿宋" w:cs="仿宋"/>
          <w:b w:val="0"/>
          <w:i w:val="0"/>
          <w:caps w:val="0"/>
          <w:color w:val="000000"/>
          <w:spacing w:val="0"/>
          <w:sz w:val="21"/>
          <w:szCs w:val="21"/>
          <w:lang w:eastAsia="zh-CN"/>
        </w:rPr>
        <w:t>：</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人员管理模块（用户、专家、应急队伍）</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预警条件管理模块</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应急指挥管理模块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导入预案、专题知识、应急队伍和专家</w:t>
      </w:r>
    </w:p>
    <w:p>
      <w:pPr>
        <w:numPr>
          <w:ilvl w:val="0"/>
          <w:numId w:val="0"/>
        </w:numPr>
        <w:ind w:left="840" w:leftChars="0"/>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预警反应子系统</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预警上报模块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正处理预警事件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历史预警事件</w:t>
      </w:r>
    </w:p>
    <w:p>
      <w:pPr>
        <w:numPr>
          <w:ilvl w:val="0"/>
          <w:numId w:val="1"/>
        </w:numPr>
        <w:ind w:left="126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突发事件管理模块</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待处理突发事件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正处理突发事件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历史突发事件</w:t>
      </w:r>
    </w:p>
    <w:p>
      <w:pPr>
        <w:numPr>
          <w:ilvl w:val="1"/>
          <w:numId w:val="1"/>
        </w:numPr>
        <w:ind w:left="1680" w:leftChars="0" w:hanging="420" w:firstLineChars="0"/>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科学评价后的突发事件</w:t>
      </w:r>
    </w:p>
    <w:p>
      <w:pPr>
        <w:widowControl w:val="0"/>
        <w:numPr>
          <w:ilvl w:val="0"/>
          <w:numId w:val="0"/>
        </w:numPr>
        <w:jc w:val="both"/>
        <w:rPr>
          <w:rFonts w:hint="eastAsia" w:ascii="仿宋" w:hAnsi="仿宋" w:eastAsia="仿宋" w:cs="仿宋"/>
          <w:b w:val="0"/>
          <w:i w:val="0"/>
          <w:caps w:val="0"/>
          <w:color w:val="000000"/>
          <w:spacing w:val="0"/>
          <w:sz w:val="21"/>
          <w:szCs w:val="21"/>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rPr>
        <w:t>预警分析子系统</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数据导入</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数据分析</w:t>
      </w:r>
    </w:p>
    <w:p>
      <w:pPr>
        <w:widowControl w:val="0"/>
        <w:numPr>
          <w:ilvl w:val="0"/>
          <w:numId w:val="2"/>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结果输出</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前台展示子系统</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正在处理的预警事件和突发事件展示</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历史预警事件和历史突发事件展示</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 预警信息管理子系统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3.1 机构管理模块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机构类别增删改√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检验机构增删改√</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3.2 人员管理模块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专家增删改√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专业领域的增删改√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应急队伍增删改√</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3.3 预警条件管理模块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预警条件增删改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事件等级增删改√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事件类别增删改√</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3.4 应急指挥管理模块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预案类型增删改√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预案的增删√</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专题知识类型增删改√</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专题知识的增删√</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预案需要跟人员进行绑定，相同人员在不同预案里面可以有不同职位√</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如果发生了某件没有相应预案的事件时，肯定要新增新的预案，但具体应该怎么做？</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系统操作人员联系好主要人员，得到指示后，通知相关人员开会，最后把制定的方案录入系统，然后开始处理事件。√</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 预警反应子系统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4.1 预警上报模块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显示待处理预警事件，可对待处理预警事件进行处理（提供历史预警事件的处理方法）</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显示正处理预警事件，可对正处理预警事件进行处理（更新进度、改变事件等级或类型、改变处理方案）</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显示历史预警事件</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4.2 突发事件管理模块</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显示待处理突发事件，可对待处理突发事件进行处理（提供历史突发事件、科学评价后的突发事件的处理方法）</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显示正处理突发事件，可对正处理突发事件进行处理</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显示历突发事件，可对历史突发事件进行科学评价</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显示科学评价后的突发事件，可进行修改操作</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处理待处理的预警或突发事件时，需要选定专家、应急人员和处理方案，然后通知对应的人。然后就进入处理事件相关页面。</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处理过程中，pc端或手机端可对事件进展进行更新，直到事件解决。</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处理完后相关人员可用手机结束事件，专家用手机评价事件。</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 预警反应子系统</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5.1 数据导入</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选择数据来源哪个地区，填入数据标题（可自动读取文件名自动填充</w:t>
      </w:r>
      <w:bookmarkStart w:id="0" w:name="_GoBack"/>
      <w:bookmarkEnd w:id="0"/>
      <w:r>
        <w:rPr>
          <w:rFonts w:hint="eastAsia" w:ascii="仿宋" w:hAnsi="仿宋" w:eastAsia="仿宋" w:cs="仿宋"/>
          <w:b w:val="0"/>
          <w:i w:val="0"/>
          <w:caps w:val="0"/>
          <w:color w:val="000000"/>
          <w:spacing w:val="0"/>
          <w:sz w:val="21"/>
          <w:szCs w:val="21"/>
          <w:lang w:val="en-US" w:eastAsia="zh-CN"/>
        </w:rPr>
        <w:t>），然后导入数据</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5.2 数据分析</w:t>
      </w:r>
    </w:p>
    <w:p>
      <w:pPr>
        <w:widowControl w:val="0"/>
        <w:numPr>
          <w:ilvl w:val="0"/>
          <w:numId w:val="0"/>
        </w:numPr>
        <w:ind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5.3 结果输出</w:t>
      </w:r>
    </w:p>
    <w:p>
      <w:pPr>
        <w:widowControl w:val="0"/>
        <w:numPr>
          <w:ilvl w:val="0"/>
          <w:numId w:val="0"/>
        </w:numPr>
        <w:ind w:left="420" w:leftChars="0" w:firstLine="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数据分析结束后输出结果编号，与预警条件进行匹配，然后转入相应的流程：</w:t>
      </w:r>
    </w:p>
    <w:p>
      <w:pPr>
        <w:widowControl w:val="0"/>
        <w:numPr>
          <w:ilvl w:val="0"/>
          <w:numId w:val="3"/>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数据没问题，则简单记录本次检查的数据来源，数据结果</w:t>
      </w:r>
    </w:p>
    <w:p>
      <w:pPr>
        <w:widowControl w:val="0"/>
        <w:numPr>
          <w:ilvl w:val="0"/>
          <w:numId w:val="4"/>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数据没问题但触发预警，则转入预警事件管理模块</w:t>
      </w:r>
    </w:p>
    <w:p>
      <w:pPr>
        <w:widowControl w:val="0"/>
        <w:numPr>
          <w:ilvl w:val="0"/>
          <w:numId w:val="5"/>
        </w:numPr>
        <w:ind w:left="1260" w:leftChars="0" w:hanging="420" w:firstLineChars="0"/>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数据出问题则立即转入突发事件管理模块</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r>
        <w:rPr>
          <w:rFonts w:hint="eastAsia" w:ascii="仿宋" w:hAnsi="仿宋" w:eastAsia="仿宋" w:cs="仿宋"/>
          <w:b w:val="0"/>
          <w:i w:val="0"/>
          <w:caps w:val="0"/>
          <w:color w:val="000000"/>
          <w:spacing w:val="0"/>
          <w:sz w:val="21"/>
          <w:szCs w:val="21"/>
          <w:lang w:val="en-US" w:eastAsia="zh-CN"/>
        </w:rPr>
        <w:t>6 前台展示子系统</w:t>
      </w: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p>
      <w:pPr>
        <w:widowControl w:val="0"/>
        <w:numPr>
          <w:ilvl w:val="0"/>
          <w:numId w:val="0"/>
        </w:numPr>
        <w:jc w:val="both"/>
        <w:rPr>
          <w:rFonts w:hint="eastAsia" w:ascii="仿宋" w:hAnsi="仿宋" w:eastAsia="仿宋" w:cs="仿宋"/>
          <w:b w:val="0"/>
          <w:i w:val="0"/>
          <w:caps w:val="0"/>
          <w:color w:val="000000"/>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A72E"/>
    <w:multiLevelType w:val="multilevel"/>
    <w:tmpl w:val="58AEA72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AEB031"/>
    <w:multiLevelType w:val="multilevel"/>
    <w:tmpl w:val="58AEB0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8AFA6EE"/>
    <w:multiLevelType w:val="multilevel"/>
    <w:tmpl w:val="58AFA6E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AFA707"/>
    <w:multiLevelType w:val="singleLevel"/>
    <w:tmpl w:val="58AFA707"/>
    <w:lvl w:ilvl="0" w:tentative="0">
      <w:start w:val="1"/>
      <w:numFmt w:val="bullet"/>
      <w:lvlText w:val=""/>
      <w:lvlJc w:val="left"/>
      <w:pPr>
        <w:ind w:left="420" w:leftChars="0" w:hanging="420" w:firstLineChars="0"/>
      </w:pPr>
      <w:rPr>
        <w:rFonts w:hint="default" w:ascii="Wingdings" w:hAnsi="Wingdings"/>
      </w:rPr>
    </w:lvl>
  </w:abstractNum>
  <w:abstractNum w:abstractNumId="4">
    <w:nsid w:val="58AFA715"/>
    <w:multiLevelType w:val="singleLevel"/>
    <w:tmpl w:val="58AFA71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40760"/>
    <w:rsid w:val="063F7A23"/>
    <w:rsid w:val="09992188"/>
    <w:rsid w:val="0A561F30"/>
    <w:rsid w:val="0ABF5744"/>
    <w:rsid w:val="0B022525"/>
    <w:rsid w:val="0BF34A33"/>
    <w:rsid w:val="0D0872BB"/>
    <w:rsid w:val="10D925C3"/>
    <w:rsid w:val="173B6BE0"/>
    <w:rsid w:val="1B1F632B"/>
    <w:rsid w:val="204C6A3A"/>
    <w:rsid w:val="39AC6732"/>
    <w:rsid w:val="3F0A1C65"/>
    <w:rsid w:val="402D7BA4"/>
    <w:rsid w:val="43272C63"/>
    <w:rsid w:val="49FF68E9"/>
    <w:rsid w:val="4A223390"/>
    <w:rsid w:val="4BBF14F5"/>
    <w:rsid w:val="504B1F6A"/>
    <w:rsid w:val="512143D9"/>
    <w:rsid w:val="512873D1"/>
    <w:rsid w:val="53492662"/>
    <w:rsid w:val="57E75223"/>
    <w:rsid w:val="5CA7524C"/>
    <w:rsid w:val="5F91488F"/>
    <w:rsid w:val="63E048FC"/>
    <w:rsid w:val="68BD6FD3"/>
    <w:rsid w:val="6B5F0556"/>
    <w:rsid w:val="71AC0453"/>
    <w:rsid w:val="774B0A7C"/>
    <w:rsid w:val="7B092342"/>
    <w:rsid w:val="7CC22273"/>
    <w:rsid w:val="7E776A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2017-02-24T03:23:41Z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