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9671"/>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tcBorders>
              <w:left w:val="single" w:color="auto" w:sz="12" w:space="0"/>
              <w:bottom w:val="single" w:color="auto" w:sz="12" w:space="0"/>
              <w:right w:val="single" w:color="auto" w:sz="12" w:space="0"/>
            </w:tcBorders>
            <w:tcMar>
              <w:left w:w="113" w:type="dxa"/>
              <w:right w:w="113" w:type="dxa"/>
            </w:tcMar>
          </w:tcPr>
          <w:p>
            <w:pPr>
              <w:spacing w:line="360" w:lineRule="auto"/>
              <w:ind w:left="420" w:leftChars="200" w:firstLine="420" w:firstLineChars="200"/>
              <w:rPr>
                <w:rFonts w:hint="eastAsia"/>
              </w:rPr>
            </w:pPr>
          </w:p>
          <w:p>
            <w:pPr>
              <w:spacing w:line="360" w:lineRule="auto"/>
              <w:ind w:left="420" w:leftChars="200" w:firstLine="420" w:firstLineChars="200"/>
            </w:pPr>
            <w:bookmarkStart w:id="0" w:name="_GoBack"/>
            <w:bookmarkEnd w:id="0"/>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default"/>
                <w:lang w:val="en-US" w:eastAsia="zh-CN"/>
              </w:rPr>
              <w:t>2015年12月，由开源世界的旗舰组织Linux基金会牵头，30家初始企业成员（包括IBM、Accenture、Intel、J.P.Morgan、R3、DAH、DTCC、FUJITSU、HITACHI、SWIFT、Cisco等），共同宣布了Hyperledger联合项目成立。超级账本项目为透明、公开、去中心化的企业级分布式账本技术提供开源参考实现并推动区块链和分布式账本相关协议、规范和标准的发展。Fabric是最早加入到超级账本项目中的顶级项目，由IBM、DAH等企业于2015年底提交到社区。该项目的定位是面向企业的分布式账本平台，创新地引入了权限管理支持，设计上支持可插拔、可扩展，是首个面向联盟链场景的开源项目。</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Androulaki E, Barger A, Bortnikov V, et al. Hyperledger Fabric: A Distributed Operating System for Permissioned Blockchains[J]. 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Sousa J, Bessani A, Vukolić M. A Byzantine Fault-Tolerant Ordering Service for the Hyperledger Fabric Blockchain Platform[J]. 2017:1-2.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 xml:space="preserve">[3] </w:t>
            </w:r>
            <w:r>
              <w:rPr>
                <w:rFonts w:hint="eastAsia" w:ascii="Calibri" w:hAnsi="Calibri" w:eastAsia="宋体" w:cs="Times New Roman"/>
                <w:kern w:val="2"/>
                <w:sz w:val="21"/>
                <w:szCs w:val="21"/>
                <w:lang w:val="en-US" w:eastAsia="zh-CN" w:bidi="ar-SA"/>
              </w:rPr>
              <w:t>李亚楠. 基于区块链的数据存储应用研究[D].北京交通大学,2018.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Castro M, Liskov B. Practical byzantine fault tolerance and proactive recovery[M]. ACM, 2002.</w:t>
            </w:r>
            <w:r>
              <w:rPr>
                <w:rFonts w:ascii="Arial" w:hAnsi="Arial" w:eastAsia="黑体" w:cs="Arial"/>
              </w:rPr>
              <w:br w:type="textWrapping"/>
            </w:r>
            <w:r>
              <w:rPr>
                <w:rFonts w:ascii="Arial" w:hAnsi="Arial" w:eastAsia="黑体" w:cs="Arial"/>
              </w:rPr>
              <w:t>[6] Camenisch J, Herreweghen E V. Design and implementation of the idemix anonymous credential system[C]// 2002:21-30.</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[7] </w:t>
            </w:r>
            <w:r>
              <w:rPr>
                <w:rFonts w:ascii="Arial" w:hAnsi="Arial" w:eastAsia="黑体" w:cs="Arial"/>
              </w:rPr>
              <w:t>Kemme B, Alonso G. A new approach to developing and implementing eager database replication protocols[J]. Acm Transactions on Database Systems, 2000, 25(3):333-379.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[8] </w:t>
            </w:r>
            <w:r>
              <w:rPr>
                <w:rFonts w:ascii="Arial" w:hAnsi="Arial" w:eastAsia="黑体" w:cs="Arial"/>
              </w:rPr>
              <w:t>Kemme B, Alonso G. Alonso, G.: A New Approach to Developing and Implementing Eager Database Replication Protocols. ACM Transactions on Database Systems 25(3), 333-379[J]. Acm Transactions on Database Systems, 2000, 25(3).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[9] Yin J, Martin J P, Venkataramani A, et al. Separating Agreement from Execution for Byzantine Fault Tolerant Services[J]. Acm Sigops Operating Systems Review, 2003, 37(5):253-267.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[10] </w:t>
            </w:r>
            <w:r>
              <w:rPr>
                <w:rFonts w:ascii="Arial" w:hAnsi="Arial" w:eastAsia="黑体" w:cs="Arial"/>
              </w:rPr>
              <w:t>Castro M, Liskov B. Practical Byzantine fault tolerance[C]// Symposium on Operating Systems Design &amp; Implementation. ACM, 1999:173-186.</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[11] </w:t>
            </w:r>
            <w:r>
              <w:rPr>
                <w:rFonts w:ascii="Arial" w:hAnsi="Arial" w:eastAsia="黑体" w:cs="Arial"/>
              </w:rPr>
              <w:t>Dijkstra E W. On-the-fly garbage collection: an exercise in cooperation[J]. Communications of the Acm, 1978, 21(11):966-975.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[12] </w:t>
            </w:r>
            <w:r>
              <w:rPr>
                <w:rFonts w:ascii="Arial" w:hAnsi="Arial" w:eastAsia="黑体" w:cs="Arial"/>
              </w:rPr>
              <w:t>Fischer M J. Impossibility of distributed consensus with one faulty process[J]. Acm Tocs, 1985, 32(2):374-382.</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[13] </w:t>
            </w:r>
            <w:r>
              <w:rPr>
                <w:rFonts w:ascii="Arial" w:hAnsi="Arial" w:eastAsia="黑体" w:cs="Arial"/>
              </w:rPr>
              <w:t>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[14] </w:t>
            </w:r>
            <w:r>
              <w:rPr>
                <w:rFonts w:ascii="Arial" w:hAnsi="Arial" w:eastAsia="黑体" w:cs="Arial"/>
              </w:rPr>
              <w:t>Li M, Tamir Y. Practical Byzantine Fault Tolerance Using Fewer than 3f+1 Active Replicas.[C]// ISCA, International Conference on Parallel and Distributed Computing Systems, September 15-17, 2004, the Canterbury Hotel, San Francisco, California, Usa. DBLP, 2004:241-247.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[15] </w:t>
            </w:r>
            <w:r>
              <w:rPr>
                <w:rFonts w:ascii="Arial" w:hAnsi="Arial" w:eastAsia="黑体" w:cs="Arial"/>
              </w:rPr>
              <w:t>Benini L, Bogliolo A, Micheli G D. A survey of design techniques for system-level dynamic power management. IEEE Trans Very Large Scale Integr (VLSI) Syst[J]. IEEE Transactions on Very Large Scale Integration Systems, 2000, 8(3):299-316.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eastAsia="黑体" w:cs="Arial"/>
                <w:szCs w:val="21"/>
              </w:rPr>
              <w:t xml:space="preserve">[16] </w:t>
            </w:r>
            <w:r>
              <w:rPr>
                <w:rFonts w:hint="eastAsia" w:ascii="Calibri" w:hAnsi="Calibri" w:eastAsia="宋体" w:cs="Times New Roman"/>
                <w:kern w:val="2"/>
                <w:sz w:val="21"/>
                <w:szCs w:val="21"/>
                <w:lang w:val="en-US" w:eastAsia="zh-CN" w:bidi="ar-SA"/>
              </w:rPr>
              <w:t>汪登, 曾小珊, 白倩兰,等. 基于区块链的食品安全溯源技术[J]. 大数据时代, 2018(3).</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eastAsia="黑体" w:cs="Arial"/>
              </w:rPr>
              <w:t>Swan M. Blockchain: Blueprint for a New Economy[M]// Blockchain : blueprint for a new economy. O'Reilly, 2015.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[18] </w:t>
            </w:r>
            <w:r>
              <w:rPr>
                <w:rFonts w:ascii="Arial" w:hAnsi="Arial" w:eastAsia="黑体" w:cs="Arial"/>
              </w:rPr>
              <w:t>Swan M. Blockchain Thinking : The Brain as a Decentralized Autonomous Corporation [Commentary][J]. IEEE Technology &amp; Society Magazine, 2015, 34(4):41-52.</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[19]</w:t>
            </w:r>
            <w:r>
              <w:rPr>
                <w:rFonts w:ascii="Arial" w:hAnsi="Arial" w:eastAsia="黑体" w:cs="Arial"/>
              </w:rPr>
              <w:t>Calcaterra C, Kaal W A, Andrei V. Semada Technical Whitepaper - Blockchain Infrastructure for Measuring Domain Specific Reputation in Autonomous Decentralized and Anonymous Systems[J]. Social Science Electronic Publishing, 2018.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[20]</w:t>
            </w:r>
            <w:r>
              <w:rPr>
                <w:rFonts w:ascii="Arial" w:hAnsi="Arial" w:eastAsia="黑体" w:cs="Arial"/>
              </w:rPr>
              <w:t>Yuan Yong, Fei-Yue Wang.</w:t>
            </w:r>
            <w:r>
              <w:rPr>
                <w:rFonts w:ascii="Arial" w:hAnsi="Arial" w:eastAsia="宋体" w:cs="Arial"/>
                <w:b w:val="0"/>
                <w:i w:val="0"/>
                <w:caps w:val="0"/>
                <w:color w:val="000000"/>
                <w:spacing w:val="0"/>
                <w:sz w:val="19"/>
                <w:szCs w:val="19"/>
                <w:shd w:val="clear" w:fill="FFFFFF"/>
              </w:rPr>
              <w:t xml:space="preserve"> </w:t>
            </w:r>
            <w:r>
              <w:rPr>
                <w:rFonts w:hint="eastAsia" w:ascii="Calibri" w:hAnsi="Calibri" w:eastAsia="宋体" w:cs="Times New Roman"/>
                <w:kern w:val="2"/>
                <w:sz w:val="21"/>
                <w:szCs w:val="21"/>
                <w:lang w:val="en-US" w:eastAsia="zh-CN" w:bidi="ar-SA"/>
              </w:rPr>
              <w:t>区块链技术发展现状与展望[J].</w:t>
            </w:r>
            <w:r>
              <w:rPr>
                <w:rFonts w:ascii="Arial" w:hAnsi="Arial" w:eastAsia="宋体" w:cs="Arial"/>
                <w:b w:val="0"/>
                <w:i w:val="0"/>
                <w:caps w:val="0"/>
                <w:color w:val="000000"/>
                <w:spacing w:val="0"/>
                <w:sz w:val="19"/>
                <w:szCs w:val="19"/>
                <w:shd w:val="clear" w:fill="FFFFFF"/>
              </w:rPr>
              <w:t xml:space="preserve"> </w:t>
            </w:r>
            <w:r>
              <w:rPr>
                <w:rFonts w:ascii="Arial" w:hAnsi="Arial" w:eastAsia="黑体" w:cs="Arial"/>
              </w:rPr>
              <w:t>Zidonghua Xuebao/acta Automatica Sinica, 2016, 42(4):481-494.</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[21]</w:t>
            </w:r>
            <w:r>
              <w:t xml:space="preserve"> </w:t>
            </w:r>
            <w:r>
              <w:rPr>
                <w:rFonts w:ascii="Arial" w:hAnsi="Arial" w:eastAsia="黑体" w:cs="Arial"/>
              </w:rPr>
              <w:t>Peters G W, Panayi E. Understanding Modern Banking Ledgers Through Blockchain Technologies: Future of Transaction Processing and Smart Contracts on the Internet of Money[M]// Banking Beyond Banks and Money. Springer International Publishing, 2016.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cs="Arial"/>
                <w:szCs w:val="21"/>
              </w:rPr>
              <w:t>[22]</w:t>
            </w:r>
            <w:r>
              <w:rPr>
                <w:rFonts w:ascii="TimesNewRomanPSMT" w:hAnsi="TimesNewRomanPSMT"/>
                <w:i/>
                <w:color w:val="000000"/>
                <w:sz w:val="18"/>
                <w:szCs w:val="18"/>
              </w:rPr>
              <w:t xml:space="preserve"> </w:t>
            </w:r>
            <w:r>
              <w:rPr>
                <w:rFonts w:hint="eastAsia" w:ascii="Calibri" w:hAnsi="Calibri" w:eastAsia="宋体" w:cs="Times New Roman"/>
                <w:kern w:val="2"/>
                <w:sz w:val="21"/>
                <w:szCs w:val="21"/>
                <w:lang w:val="en-US" w:eastAsia="zh-CN" w:bidi="ar-SA"/>
              </w:rPr>
              <w:t>郭珊珊. 供应链的可信溯源查询在区块链上的实现[D]. 大连海事大学, 2017.</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w:t>
            </w:r>
            <w:r>
              <w:rPr>
                <w:rFonts w:hint="eastAsia" w:ascii="Calibri" w:hAnsi="Calibri" w:eastAsia="宋体" w:cs="Times New Roman"/>
                <w:kern w:val="2"/>
                <w:sz w:val="21"/>
                <w:szCs w:val="21"/>
                <w:lang w:val="en-US" w:eastAsia="zh-CN" w:bidi="ar-SA"/>
              </w:rPr>
              <w:t>吴霜, 喻朝新. 物联网和区块链技术在农产品溯源上的应用[J]. 电信工程技术与标准化, 2018(6).</w:t>
            </w:r>
            <w:r>
              <w:rPr>
                <w:rFonts w:hint="eastAsia" w:ascii="Arial" w:hAnsi="Arial" w:cs="Arial"/>
                <w:szCs w:val="21"/>
              </w:rPr>
              <w:t></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[24]</w:t>
            </w:r>
            <w:r>
              <w:rPr>
                <w:rFonts w:ascii="Arial" w:hAnsi="Arial" w:eastAsia="黑体" w:cs="Arial"/>
              </w:rPr>
              <w:t>Nakamoto S. Bitcoin: A peer-to-peer electronic cash system[J]. Consulted, 2008.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[25]</w:t>
            </w:r>
            <w:r>
              <w:rPr>
                <w:rFonts w:ascii="Arial" w:hAnsi="Arial" w:eastAsia="黑体" w:cs="Arial"/>
              </w:rPr>
              <w:t>Christidis K, Devetsikiotis M. Blockchains and Smart Contracts for the Internet of Things[J]. IEEE Access, 2016, 4:2292-2303.</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[26]</w:t>
            </w:r>
            <w:r>
              <w:rPr>
                <w:rFonts w:ascii="Arial" w:hAnsi="Arial" w:eastAsia="黑体" w:cs="Arial"/>
              </w:rPr>
              <w:t>Tian F. An agri-food supply chain traceability system for China based on RFID &amp; blockchain technology[C]// International Conference on Service Systems and Service Management. IEEE, 2016:1-6.</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w:t>
            </w:r>
            <w:r>
              <w:rPr>
                <w:rFonts w:ascii="Arial" w:hAnsi="Arial" w:eastAsia="黑体" w:cs="Arial"/>
              </w:rPr>
              <w:t>Gandino F, Montrucchio B, Rebaudengo M, et al. Analysis of an RFID-based Information System for Tracking and Tracing in an Agri-Food chain[C]// Rfid Eurasia, 2007. IEEE, 2007:1-6.</w:t>
            </w:r>
          </w:p>
        </w:tc>
      </w:tr>
    </w:tbl>
    <w:p>
      <w:pPr>
        <w:widowControl/>
        <w:spacing w:line="20" w:lineRule="exact"/>
        <w:jc w:val="left"/>
        <w:rPr>
          <w:rFonts w:ascii="宋体"/>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4C01"/>
    <w:rsid w:val="03E76A95"/>
    <w:rsid w:val="07A25AA1"/>
    <w:rsid w:val="0817249B"/>
    <w:rsid w:val="0F2C748C"/>
    <w:rsid w:val="0FE46D05"/>
    <w:rsid w:val="11E93A23"/>
    <w:rsid w:val="12AE32A1"/>
    <w:rsid w:val="13866A5F"/>
    <w:rsid w:val="14FC7768"/>
    <w:rsid w:val="152F06CD"/>
    <w:rsid w:val="154664DD"/>
    <w:rsid w:val="17D7264B"/>
    <w:rsid w:val="180D2DE2"/>
    <w:rsid w:val="19663E71"/>
    <w:rsid w:val="19AE53DA"/>
    <w:rsid w:val="1A740046"/>
    <w:rsid w:val="1CE7081B"/>
    <w:rsid w:val="1E1F2565"/>
    <w:rsid w:val="1E3419B2"/>
    <w:rsid w:val="20DC406A"/>
    <w:rsid w:val="21496468"/>
    <w:rsid w:val="21FF4C43"/>
    <w:rsid w:val="23725E51"/>
    <w:rsid w:val="23E9391A"/>
    <w:rsid w:val="24094DEF"/>
    <w:rsid w:val="2522761B"/>
    <w:rsid w:val="27850878"/>
    <w:rsid w:val="299B4B4F"/>
    <w:rsid w:val="2AC50822"/>
    <w:rsid w:val="2E8E09B7"/>
    <w:rsid w:val="31D92074"/>
    <w:rsid w:val="31E93F4C"/>
    <w:rsid w:val="330F7492"/>
    <w:rsid w:val="3431131F"/>
    <w:rsid w:val="3BD92CCE"/>
    <w:rsid w:val="3C38585A"/>
    <w:rsid w:val="3CFF4CDC"/>
    <w:rsid w:val="3E235A63"/>
    <w:rsid w:val="3ED53A9F"/>
    <w:rsid w:val="3EDF4329"/>
    <w:rsid w:val="41725FF1"/>
    <w:rsid w:val="4307041E"/>
    <w:rsid w:val="451C0922"/>
    <w:rsid w:val="45700356"/>
    <w:rsid w:val="47552077"/>
    <w:rsid w:val="47F03DC6"/>
    <w:rsid w:val="4BB94DF8"/>
    <w:rsid w:val="4C8A6C58"/>
    <w:rsid w:val="57480C7C"/>
    <w:rsid w:val="57F97EE2"/>
    <w:rsid w:val="59C73296"/>
    <w:rsid w:val="5D42724E"/>
    <w:rsid w:val="5E20372B"/>
    <w:rsid w:val="5E3242D9"/>
    <w:rsid w:val="610970D7"/>
    <w:rsid w:val="63F64546"/>
    <w:rsid w:val="647B273B"/>
    <w:rsid w:val="67415301"/>
    <w:rsid w:val="684605E6"/>
    <w:rsid w:val="6D0472E5"/>
    <w:rsid w:val="6EC02C74"/>
    <w:rsid w:val="70245981"/>
    <w:rsid w:val="71E2723D"/>
    <w:rsid w:val="71F54989"/>
    <w:rsid w:val="72655CDC"/>
    <w:rsid w:val="7488436C"/>
    <w:rsid w:val="75B73DD3"/>
    <w:rsid w:val="76443E7F"/>
    <w:rsid w:val="78681B43"/>
    <w:rsid w:val="7AD015AC"/>
    <w:rsid w:val="7C3707E8"/>
    <w:rsid w:val="7C686D83"/>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1</TotalTime>
  <ScaleCrop>false</ScaleCrop>
  <LinksUpToDate>false</LinksUpToDate>
  <CharactersWithSpaces>11644</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2018-09-21T09:13:56Z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