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MUNICIPALITY OF CALATRAVA, ROMBLON</w:t>
      </w:r>
    </w:p>
    <w:p>
      <w:pPr>
        <w:spacing w:after="200"/>
        <w:jc w:val="center"/>
      </w:pPr>
      <w:r>
        <w:rPr>
          <w:color w:val="B8860B"/>
          <w:sz w:val="18"/>
          <w:szCs w:val="18"/>
        </w:rPr>
        <w:t xml:space="preserve">Official Website Development Project</w:t>
      </w:r>
    </w:p>
    <w:p>
      <w:pPr>
        <w:spacing w:after="100"/>
        <w:jc w:val="center"/>
      </w:pPr>
      <w:r>
        <w:rPr>
          <w:b/>
          <w:bCs/>
          <w:color w:val="1F3864"/>
          <w:sz w:val="40"/>
          <w:szCs w:val="40"/>
        </w:rPr>
        <w:t xml:space="preserve">Content &amp; Data Collection Checklist</w:t>
      </w:r>
    </w:p>
    <w:p>
      <w:pPr>
        <w:spacing w:after="300"/>
        <w:jc w:val="center"/>
      </w:pPr>
      <w:r>
        <w:rPr>
          <w:i/>
          <w:iCs/>
          <w:sz w:val="21"/>
          <w:szCs w:val="21"/>
        </w:rPr>
        <w:t xml:space="preserve">Prepared for collation by the Office of the Municipal Mayor</w:t>
      </w:r>
    </w:p>
    <w:p>
      <w:pPr>
        <w:spacing w:after="140"/>
      </w:pPr>
      <w:r>
        <w:rPr>
          <w:i w:val="false"/>
          <w:iCs w:val="false"/>
          <w:sz w:val="21"/>
          <w:szCs w:val="21"/>
        </w:rPr>
        <w:t xml:space="preserve">This checklist consolidates the documents, data, and media the municipality needs to gather in order to build a new LGU website that meets DICT and DILG standards. It is organized by topic; each row names the item needed, the office likely to hold it, and notes on format. Please route each section to the relevant office and return completed items (as files, links, or scans) to this office for consolidation.</w:t>
      </w:r>
    </w:p>
    <w:p>
      <w:pPr>
        <w:spacing w:after="120"/>
      </w:pPr>
    </w:p>
    <w:p>
      <w:pPr>
        <w:pStyle w:val="Heading1"/>
        <w:pBdr>
          <w:bottom w:val="single" w:color="1F3864" w:sz="6" w:space="4"/>
        </w:pBdr>
        <w:spacing w:after="160" w:before="360"/>
      </w:pPr>
      <w:r>
        <w:rPr>
          <w:b/>
          <w:bCs/>
          <w:color w:val="1F3864"/>
          <w:sz w:val="28"/>
          <w:szCs w:val="28"/>
        </w:rPr>
        <w:t xml:space="preserve">Part 1 — Governing Standards This Website Must Meet</w:t>
      </w:r>
    </w:p>
    <w:p>
      <w:pPr>
        <w:spacing w:after="140"/>
      </w:pPr>
      <w:r>
        <w:rPr>
          <w:i w:val="false"/>
          <w:iCs w:val="false"/>
          <w:sz w:val="21"/>
          <w:szCs w:val="21"/>
        </w:rPr>
        <w:t xml:space="preserve">A summary reference so requesting offices understand why each item below is being asked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shd w:fill="1F3864" w:val="clear"/>
            <w:tcMar>
              <w:top w:type="dxa" w:w="80"/>
              <w:left w:type="dxa" w:w="100"/>
              <w:bottom w:type="dxa" w:w="80"/>
              <w:right w:type="dxa" w:w="100"/>
            </w:tcMar>
            <w:vAlign w:val="center"/>
          </w:tcPr>
          <w:p>
            <w:pPr>
              <w:spacing w:after="0"/>
            </w:pPr>
            <w:r>
              <w:rPr>
                <w:b/>
                <w:bCs/>
                <w:color w:val="FFFFFF"/>
                <w:sz w:val="19"/>
                <w:szCs w:val="19"/>
              </w:rPr>
              <w:t xml:space="preserve">Standard / Issuance</w:t>
            </w:r>
          </w:p>
        </w:tc>
        <w:tc>
          <w:tcPr>
            <w:tcW w:type="dxa" w:w="2800"/>
            <w:shd w:fill="1F3864" w:val="clear"/>
            <w:tcMar>
              <w:top w:type="dxa" w:w="80"/>
              <w:left w:type="dxa" w:w="100"/>
              <w:bottom w:type="dxa" w:w="80"/>
              <w:right w:type="dxa" w:w="100"/>
            </w:tcMar>
            <w:vAlign w:val="center"/>
          </w:tcPr>
          <w:p>
            <w:pPr>
              <w:spacing w:after="0"/>
            </w:pPr>
            <w:r>
              <w:rPr>
                <w:b/>
                <w:bCs/>
                <w:color w:val="FFFFFF"/>
                <w:sz w:val="19"/>
                <w:szCs w:val="19"/>
              </w:rPr>
              <w:t xml:space="preserve">Issuing Agency &amp; Basis</w:t>
            </w:r>
          </w:p>
        </w:tc>
        <w:tc>
          <w:tcPr>
            <w:tcW w:type="dxa" w:w="4560"/>
            <w:shd w:fill="1F3864" w:val="clear"/>
            <w:tcMar>
              <w:top w:type="dxa" w:w="80"/>
              <w:left w:type="dxa" w:w="100"/>
              <w:bottom w:type="dxa" w:w="80"/>
              <w:right w:type="dxa" w:w="100"/>
            </w:tcMar>
            <w:vAlign w:val="center"/>
          </w:tcPr>
          <w:p>
            <w:pPr>
              <w:spacing w:after="0"/>
            </w:pPr>
            <w:r>
              <w:rPr>
                <w:b/>
                <w:bCs/>
                <w:color w:val="FFFFFF"/>
                <w:sz w:val="19"/>
                <w:szCs w:val="19"/>
              </w:rPr>
              <w:t xml:space="preserve">What It Requires for the Website</w:t>
            </w:r>
          </w:p>
        </w:tc>
      </w:tr>
      <w:tr>
        <w:tc>
          <w:tcPr>
            <w:tcW w:type="dxa" w:w="2000"/>
            <w:shd w:fill="FFFFFF" w:val="clear"/>
            <w:tcMar>
              <w:top w:type="dxa" w:w="80"/>
              <w:left w:type="dxa" w:w="100"/>
              <w:bottom w:type="dxa" w:w="80"/>
              <w:right w:type="dxa" w:w="100"/>
            </w:tcMar>
          </w:tcPr>
          <w:p>
            <w:pPr>
              <w:spacing w:after="0"/>
            </w:pPr>
            <w:r>
              <w:rPr>
                <w:b/>
                <w:bCs/>
                <w:sz w:val="19"/>
                <w:szCs w:val="19"/>
              </w:rPr>
              <w:t xml:space="preserve">Government Website Template Design (GWTD) Guidelines</w:t>
            </w:r>
          </w:p>
        </w:tc>
        <w:tc>
          <w:tcPr>
            <w:tcW w:type="dxa" w:w="2800"/>
            <w:shd w:fill="FFFFFF" w:val="clear"/>
            <w:tcMar>
              <w:top w:type="dxa" w:w="80"/>
              <w:left w:type="dxa" w:w="100"/>
              <w:bottom w:type="dxa" w:w="80"/>
              <w:right w:type="dxa" w:w="100"/>
            </w:tcMar>
          </w:tcPr>
          <w:p>
            <w:pPr>
              <w:spacing w:after="0"/>
            </w:pPr>
            <w:r>
              <w:rPr>
                <w:b w:val="false"/>
                <w:bCs w:val="false"/>
                <w:sz w:val="19"/>
                <w:szCs w:val="19"/>
              </w:rPr>
              <w:t xml:space="preserve">DICT / iGovPhil Program (Memorandum Circular on migration to GovCloud/GovMail; .gov.ph domain policy)</w:t>
            </w:r>
          </w:p>
        </w:tc>
        <w:tc>
          <w:tcPr>
            <w:tcW w:type="dxa" w:w="4560"/>
            <w:shd w:fill="FFFFFF" w:val="clear"/>
            <w:tcMar>
              <w:top w:type="dxa" w:w="80"/>
              <w:left w:type="dxa" w:w="100"/>
              <w:bottom w:type="dxa" w:w="80"/>
              <w:right w:type="dxa" w:w="100"/>
            </w:tcMar>
          </w:tcPr>
          <w:p>
            <w:pPr>
              <w:spacing w:after="0"/>
            </w:pPr>
            <w:r>
              <w:rPr>
                <w:b w:val="false"/>
                <w:bCs w:val="false"/>
                <w:sz w:val="19"/>
                <w:szCs w:val="19"/>
              </w:rPr>
              <w:t xml:space="preserve">Official .gov.ph domain hosted or cleared through DICT; consistent government header/branding (Bagong Pilipinas / official seal), standard navigation, and hosting on approved government infrastructure (GovCloud).</w:t>
            </w:r>
          </w:p>
        </w:tc>
      </w:tr>
      <w:tr>
        <w:tc>
          <w:tcPr>
            <w:tcW w:type="dxa" w:w="2000"/>
            <w:shd w:fill="F2F2F2" w:val="clear"/>
            <w:tcMar>
              <w:top w:type="dxa" w:w="80"/>
              <w:left w:type="dxa" w:w="100"/>
              <w:bottom w:type="dxa" w:w="80"/>
              <w:right w:type="dxa" w:w="100"/>
            </w:tcMar>
          </w:tcPr>
          <w:p>
            <w:pPr>
              <w:spacing w:after="0"/>
            </w:pPr>
            <w:r>
              <w:rPr>
                <w:b/>
                <w:bCs/>
                <w:sz w:val="19"/>
                <w:szCs w:val="19"/>
              </w:rPr>
              <w:t xml:space="preserve">Philippine Web Accessibility Policy</w:t>
            </w:r>
          </w:p>
        </w:tc>
        <w:tc>
          <w:tcPr>
            <w:tcW w:type="dxa" w:w="2800"/>
            <w:shd w:fill="F2F2F2" w:val="clear"/>
            <w:tcMar>
              <w:top w:type="dxa" w:w="80"/>
              <w:left w:type="dxa" w:w="100"/>
              <w:bottom w:type="dxa" w:w="80"/>
              <w:right w:type="dxa" w:w="100"/>
            </w:tcMar>
          </w:tcPr>
          <w:p>
            <w:pPr>
              <w:spacing w:after="0"/>
            </w:pPr>
            <w:r>
              <w:rPr>
                <w:b w:val="false"/>
                <w:bCs w:val="false"/>
                <w:sz w:val="19"/>
                <w:szCs w:val="19"/>
              </w:rPr>
              <w:t xml:space="preserve">DICT Memorandum Circular (adopting ISO/IEC 40500:2012 – WCAG 2.0)</w:t>
            </w:r>
          </w:p>
        </w:tc>
        <w:tc>
          <w:tcPr>
            <w:tcW w:type="dxa" w:w="4560"/>
            <w:shd w:fill="F2F2F2" w:val="clear"/>
            <w:tcMar>
              <w:top w:type="dxa" w:w="80"/>
              <w:left w:type="dxa" w:w="100"/>
              <w:bottom w:type="dxa" w:w="80"/>
              <w:right w:type="dxa" w:w="100"/>
            </w:tcMar>
          </w:tcPr>
          <w:p>
            <w:pPr>
              <w:spacing w:after="0"/>
            </w:pPr>
            <w:r>
              <w:rPr>
                <w:b w:val="false"/>
                <w:bCs w:val="false"/>
                <w:sz w:val="19"/>
                <w:szCs w:val="19"/>
              </w:rPr>
              <w:t xml:space="preserve">Website must meet WCAG 2.0 Level AA: perceivable, operable, understandable, robust. Includes alt text, captioning, keyboard navigation, readable contrast, and accessible document formats.</w:t>
            </w:r>
          </w:p>
        </w:tc>
      </w:tr>
      <w:tr>
        <w:tc>
          <w:tcPr>
            <w:tcW w:type="dxa" w:w="2000"/>
            <w:shd w:fill="FFFFFF" w:val="clear"/>
            <w:tcMar>
              <w:top w:type="dxa" w:w="80"/>
              <w:left w:type="dxa" w:w="100"/>
              <w:bottom w:type="dxa" w:w="80"/>
              <w:right w:type="dxa" w:w="100"/>
            </w:tcMar>
          </w:tcPr>
          <w:p>
            <w:pPr>
              <w:spacing w:after="0"/>
            </w:pPr>
            <w:r>
              <w:rPr>
                <w:b/>
                <w:bCs/>
                <w:sz w:val="19"/>
                <w:szCs w:val="19"/>
              </w:rPr>
              <w:t xml:space="preserve">Data Privacy Act of 2012 (RA 10173)</w:t>
            </w:r>
          </w:p>
        </w:tc>
        <w:tc>
          <w:tcPr>
            <w:tcW w:type="dxa" w:w="2800"/>
            <w:shd w:fill="FFFFFF" w:val="clear"/>
            <w:tcMar>
              <w:top w:type="dxa" w:w="80"/>
              <w:left w:type="dxa" w:w="100"/>
              <w:bottom w:type="dxa" w:w="80"/>
              <w:right w:type="dxa" w:w="100"/>
            </w:tcMar>
          </w:tcPr>
          <w:p>
            <w:pPr>
              <w:spacing w:after="0"/>
            </w:pPr>
            <w:r>
              <w:rPr>
                <w:b w:val="false"/>
                <w:bCs w:val="false"/>
                <w:sz w:val="19"/>
                <w:szCs w:val="19"/>
              </w:rPr>
              <w:t xml:space="preserve">National Privacy Commission (NPC)</w:t>
            </w:r>
          </w:p>
        </w:tc>
        <w:tc>
          <w:tcPr>
            <w:tcW w:type="dxa" w:w="4560"/>
            <w:shd w:fill="FFFFFF" w:val="clear"/>
            <w:tcMar>
              <w:top w:type="dxa" w:w="80"/>
              <w:left w:type="dxa" w:w="100"/>
              <w:bottom w:type="dxa" w:w="80"/>
              <w:right w:type="dxa" w:w="100"/>
            </w:tcMar>
          </w:tcPr>
          <w:p>
            <w:pPr>
              <w:spacing w:after="0"/>
            </w:pPr>
            <w:r>
              <w:rPr>
                <w:b w:val="false"/>
                <w:bCs w:val="false"/>
                <w:sz w:val="19"/>
                <w:szCs w:val="19"/>
              </w:rPr>
              <w:t xml:space="preserve">Posted Privacy Policy/Notice, a designated Data Protection Officer, secure handling of any personal data collected via online forms (e.g., permit applications, feedback forms).</w:t>
            </w:r>
          </w:p>
        </w:tc>
      </w:tr>
      <w:tr>
        <w:tc>
          <w:tcPr>
            <w:tcW w:type="dxa" w:w="2000"/>
            <w:shd w:fill="F2F2F2" w:val="clear"/>
            <w:tcMar>
              <w:top w:type="dxa" w:w="80"/>
              <w:left w:type="dxa" w:w="100"/>
              <w:bottom w:type="dxa" w:w="80"/>
              <w:right w:type="dxa" w:w="100"/>
            </w:tcMar>
          </w:tcPr>
          <w:p>
            <w:pPr>
              <w:spacing w:after="0"/>
            </w:pPr>
            <w:r>
              <w:rPr>
                <w:b/>
                <w:bCs/>
                <w:sz w:val="19"/>
                <w:szCs w:val="19"/>
              </w:rPr>
              <w:t xml:space="preserve">Full Disclosure Policy (FDP)</w:t>
            </w:r>
          </w:p>
        </w:tc>
        <w:tc>
          <w:tcPr>
            <w:tcW w:type="dxa" w:w="2800"/>
            <w:shd w:fill="F2F2F2" w:val="clear"/>
            <w:tcMar>
              <w:top w:type="dxa" w:w="80"/>
              <w:left w:type="dxa" w:w="100"/>
              <w:bottom w:type="dxa" w:w="80"/>
              <w:right w:type="dxa" w:w="100"/>
            </w:tcMar>
          </w:tcPr>
          <w:p>
            <w:pPr>
              <w:spacing w:after="0"/>
            </w:pPr>
            <w:r>
              <w:rPr>
                <w:b w:val="false"/>
                <w:bCs w:val="false"/>
                <w:sz w:val="19"/>
                <w:szCs w:val="19"/>
              </w:rPr>
              <w:t xml:space="preserve">DILG Memorandum Circular No. 2010-083, as amended (incl. MC 2022 series and MC 2023-149) and the FDP Portal (fdpp.dilg.gov.ph)</w:t>
            </w:r>
          </w:p>
        </w:tc>
        <w:tc>
          <w:tcPr>
            <w:tcW w:type="dxa" w:w="4560"/>
            <w:shd w:fill="F2F2F2" w:val="clear"/>
            <w:tcMar>
              <w:top w:type="dxa" w:w="80"/>
              <w:left w:type="dxa" w:w="100"/>
              <w:bottom w:type="dxa" w:w="80"/>
              <w:right w:type="dxa" w:w="100"/>
            </w:tcMar>
          </w:tcPr>
          <w:p>
            <w:pPr>
              <w:spacing w:after="0"/>
            </w:pPr>
            <w:r>
              <w:rPr>
                <w:b w:val="false"/>
                <w:bCs w:val="false"/>
                <w:sz w:val="19"/>
                <w:szCs w:val="19"/>
              </w:rPr>
              <w:t xml:space="preserve">Mandatory posting of local budget, procurement, and financial documents (see Section D of the checklist) on the LGU website and/or FDP Portal, updated quarterly.</w:t>
            </w:r>
          </w:p>
        </w:tc>
      </w:tr>
      <w:tr>
        <w:tc>
          <w:tcPr>
            <w:tcW w:type="dxa" w:w="2000"/>
            <w:shd w:fill="FFFFFF" w:val="clear"/>
            <w:tcMar>
              <w:top w:type="dxa" w:w="80"/>
              <w:left w:type="dxa" w:w="100"/>
              <w:bottom w:type="dxa" w:w="80"/>
              <w:right w:type="dxa" w:w="100"/>
            </w:tcMar>
          </w:tcPr>
          <w:p>
            <w:pPr>
              <w:spacing w:after="0"/>
            </w:pPr>
            <w:r>
              <w:rPr>
                <w:b/>
                <w:bCs/>
                <w:sz w:val="19"/>
                <w:szCs w:val="19"/>
              </w:rPr>
              <w:t xml:space="preserve">Citizen's Charter</w:t>
            </w:r>
          </w:p>
        </w:tc>
        <w:tc>
          <w:tcPr>
            <w:tcW w:type="dxa" w:w="2800"/>
            <w:shd w:fill="FFFFFF" w:val="clear"/>
            <w:tcMar>
              <w:top w:type="dxa" w:w="80"/>
              <w:left w:type="dxa" w:w="100"/>
              <w:bottom w:type="dxa" w:w="80"/>
              <w:right w:type="dxa" w:w="100"/>
            </w:tcMar>
          </w:tcPr>
          <w:p>
            <w:pPr>
              <w:spacing w:after="0"/>
            </w:pPr>
            <w:r>
              <w:rPr>
                <w:b w:val="false"/>
                <w:bCs w:val="false"/>
                <w:sz w:val="19"/>
                <w:szCs w:val="19"/>
              </w:rPr>
              <w:t xml:space="preserve">RA 11032 (Ease of Doing Business and Efficient Government Service Delivery Act of 2018) / Anti-Red Tape Authority (ARTA)</w:t>
            </w:r>
          </w:p>
        </w:tc>
        <w:tc>
          <w:tcPr>
            <w:tcW w:type="dxa" w:w="4560"/>
            <w:shd w:fill="FFFFFF" w:val="clear"/>
            <w:tcMar>
              <w:top w:type="dxa" w:w="80"/>
              <w:left w:type="dxa" w:w="100"/>
              <w:bottom w:type="dxa" w:w="80"/>
              <w:right w:type="dxa" w:w="100"/>
            </w:tcMar>
          </w:tcPr>
          <w:p>
            <w:pPr>
              <w:spacing w:after="0"/>
            </w:pPr>
            <w:r>
              <w:rPr>
                <w:b w:val="false"/>
                <w:bCs w:val="false"/>
                <w:sz w:val="19"/>
                <w:szCs w:val="19"/>
              </w:rPr>
              <w:t xml:space="preserve">Published Citizen's Charter for every frontline service: step-by-step procedure, requirements, fees, processing time, and responsible officer, plus a client feedback mechanism.</w:t>
            </w:r>
          </w:p>
        </w:tc>
      </w:tr>
      <w:tr>
        <w:tc>
          <w:tcPr>
            <w:tcW w:type="dxa" w:w="2000"/>
            <w:shd w:fill="F2F2F2" w:val="clear"/>
            <w:tcMar>
              <w:top w:type="dxa" w:w="80"/>
              <w:left w:type="dxa" w:w="100"/>
              <w:bottom w:type="dxa" w:w="80"/>
              <w:right w:type="dxa" w:w="100"/>
            </w:tcMar>
          </w:tcPr>
          <w:p>
            <w:pPr>
              <w:spacing w:after="0"/>
            </w:pPr>
            <w:r>
              <w:rPr>
                <w:b/>
                <w:bCs/>
                <w:sz w:val="19"/>
                <w:szCs w:val="19"/>
              </w:rPr>
              <w:t xml:space="preserve">Freedom of Information (FOI)</w:t>
            </w:r>
          </w:p>
        </w:tc>
        <w:tc>
          <w:tcPr>
            <w:tcW w:type="dxa" w:w="2800"/>
            <w:shd w:fill="F2F2F2" w:val="clear"/>
            <w:tcMar>
              <w:top w:type="dxa" w:w="80"/>
              <w:left w:type="dxa" w:w="100"/>
              <w:bottom w:type="dxa" w:w="80"/>
              <w:right w:type="dxa" w:w="100"/>
            </w:tcMar>
          </w:tcPr>
          <w:p>
            <w:pPr>
              <w:spacing w:after="0"/>
            </w:pPr>
            <w:r>
              <w:rPr>
                <w:b w:val="false"/>
                <w:bCs w:val="false"/>
                <w:sz w:val="19"/>
                <w:szCs w:val="19"/>
              </w:rPr>
              <w:t xml:space="preserve">Executive Order No. 2, s. 2016 (national scope; recommended good practice for LGUs)</w:t>
            </w:r>
          </w:p>
        </w:tc>
        <w:tc>
          <w:tcPr>
            <w:tcW w:type="dxa" w:w="4560"/>
            <w:shd w:fill="F2F2F2" w:val="clear"/>
            <w:tcMar>
              <w:top w:type="dxa" w:w="80"/>
              <w:left w:type="dxa" w:w="100"/>
              <w:bottom w:type="dxa" w:w="80"/>
              <w:right w:type="dxa" w:w="100"/>
            </w:tcMar>
          </w:tcPr>
          <w:p>
            <w:pPr>
              <w:spacing w:after="0"/>
            </w:pPr>
            <w:r>
              <w:rPr>
                <w:b w:val="false"/>
                <w:bCs w:val="false"/>
                <w:sz w:val="19"/>
                <w:szCs w:val="19"/>
              </w:rPr>
              <w:t xml:space="preserve">Optional but recommended: an FOI page/manual describing how the public may request records held by the LGU.</w:t>
            </w:r>
          </w:p>
        </w:tc>
      </w:tr>
      <w:tr>
        <w:tc>
          <w:tcPr>
            <w:tcW w:type="dxa" w:w="2000"/>
            <w:shd w:fill="FFFFFF" w:val="clear"/>
            <w:tcMar>
              <w:top w:type="dxa" w:w="80"/>
              <w:left w:type="dxa" w:w="100"/>
              <w:bottom w:type="dxa" w:w="80"/>
              <w:right w:type="dxa" w:w="100"/>
            </w:tcMar>
          </w:tcPr>
          <w:p>
            <w:pPr>
              <w:spacing w:after="0"/>
            </w:pPr>
            <w:r>
              <w:rPr>
                <w:b/>
                <w:bCs/>
                <w:sz w:val="19"/>
                <w:szCs w:val="19"/>
              </w:rPr>
              <w:t xml:space="preserve">Seal of Good Local Governance (SGLG)</w:t>
            </w:r>
          </w:p>
        </w:tc>
        <w:tc>
          <w:tcPr>
            <w:tcW w:type="dxa" w:w="2800"/>
            <w:shd w:fill="FFFFFF" w:val="clear"/>
            <w:tcMar>
              <w:top w:type="dxa" w:w="80"/>
              <w:left w:type="dxa" w:w="100"/>
              <w:bottom w:type="dxa" w:w="80"/>
              <w:right w:type="dxa" w:w="100"/>
            </w:tcMar>
          </w:tcPr>
          <w:p>
            <w:pPr>
              <w:spacing w:after="0"/>
            </w:pPr>
            <w:r>
              <w:rPr>
                <w:b w:val="false"/>
                <w:bCs w:val="false"/>
                <w:sz w:val="19"/>
                <w:szCs w:val="19"/>
              </w:rPr>
              <w:t xml:space="preserve">RA 11292 / DILG</w:t>
            </w:r>
          </w:p>
        </w:tc>
        <w:tc>
          <w:tcPr>
            <w:tcW w:type="dxa" w:w="4560"/>
            <w:shd w:fill="FFFFFF" w:val="clear"/>
            <w:tcMar>
              <w:top w:type="dxa" w:w="80"/>
              <w:left w:type="dxa" w:w="100"/>
              <w:bottom w:type="dxa" w:w="80"/>
              <w:right w:type="dxa" w:w="100"/>
            </w:tcMar>
          </w:tcPr>
          <w:p>
            <w:pPr>
              <w:spacing w:after="0"/>
            </w:pPr>
            <w:r>
              <w:rPr>
                <w:b w:val="false"/>
                <w:bCs w:val="false"/>
                <w:sz w:val="19"/>
                <w:szCs w:val="19"/>
              </w:rPr>
              <w:t xml:space="preserve">An active, updated, and transparent LGU website is one of the indicators assessed under governance and transparency criteria for SGLG qualification.</w:t>
            </w:r>
          </w:p>
        </w:tc>
      </w:tr>
      <w:tr>
        <w:tc>
          <w:tcPr>
            <w:tcW w:type="dxa" w:w="2000"/>
            <w:shd w:fill="F2F2F2" w:val="clear"/>
            <w:tcMar>
              <w:top w:type="dxa" w:w="80"/>
              <w:left w:type="dxa" w:w="100"/>
              <w:bottom w:type="dxa" w:w="80"/>
              <w:right w:type="dxa" w:w="100"/>
            </w:tcMar>
          </w:tcPr>
          <w:p>
            <w:pPr>
              <w:spacing w:after="0"/>
            </w:pPr>
            <w:r>
              <w:rPr>
                <w:b/>
                <w:bCs/>
                <w:sz w:val="19"/>
                <w:szCs w:val="19"/>
              </w:rPr>
              <w:t xml:space="preserve">Transparency Seal</w:t>
            </w:r>
          </w:p>
        </w:tc>
        <w:tc>
          <w:tcPr>
            <w:tcW w:type="dxa" w:w="2800"/>
            <w:shd w:fill="F2F2F2" w:val="clear"/>
            <w:tcMar>
              <w:top w:type="dxa" w:w="80"/>
              <w:left w:type="dxa" w:w="100"/>
              <w:bottom w:type="dxa" w:w="80"/>
              <w:right w:type="dxa" w:w="100"/>
            </w:tcMar>
          </w:tcPr>
          <w:p>
            <w:pPr>
              <w:spacing w:after="0"/>
            </w:pPr>
            <w:r>
              <w:rPr>
                <w:b w:val="false"/>
                <w:bCs w:val="false"/>
                <w:sz w:val="19"/>
                <w:szCs w:val="19"/>
              </w:rPr>
              <w:t xml:space="preserve">General Appropriations Act provisions applied to LGUs / DILG</w:t>
            </w:r>
          </w:p>
        </w:tc>
        <w:tc>
          <w:tcPr>
            <w:tcW w:type="dxa" w:w="4560"/>
            <w:shd w:fill="F2F2F2" w:val="clear"/>
            <w:tcMar>
              <w:top w:type="dxa" w:w="80"/>
              <w:left w:type="dxa" w:w="100"/>
              <w:bottom w:type="dxa" w:w="80"/>
              <w:right w:type="dxa" w:w="100"/>
            </w:tcMar>
          </w:tcPr>
          <w:p>
            <w:pPr>
              <w:spacing w:after="0"/>
            </w:pPr>
            <w:r>
              <w:rPr>
                <w:b w:val="false"/>
                <w:bCs w:val="false"/>
                <w:sz w:val="19"/>
                <w:szCs w:val="19"/>
              </w:rPr>
              <w:t xml:space="preserve">Dedicated, easy-to-find 'Transparency' section consolidating budget, procurement, and disclosure documents.</w:t>
            </w:r>
          </w:p>
        </w:tc>
      </w:tr>
      <w:tr>
        <w:tc>
          <w:tcPr>
            <w:tcW w:type="dxa" w:w="2000"/>
            <w:shd w:fill="FFFFFF" w:val="clear"/>
            <w:tcMar>
              <w:top w:type="dxa" w:w="80"/>
              <w:left w:type="dxa" w:w="100"/>
              <w:bottom w:type="dxa" w:w="80"/>
              <w:right w:type="dxa" w:w="100"/>
            </w:tcMar>
          </w:tcPr>
          <w:p>
            <w:pPr>
              <w:spacing w:after="0"/>
            </w:pPr>
            <w:r>
              <w:rPr>
                <w:b/>
                <w:bCs/>
                <w:sz w:val="19"/>
                <w:szCs w:val="19"/>
              </w:rPr>
              <w:t xml:space="preserve">Mobile &amp; Cross-Browser Responsiveness</w:t>
            </w:r>
          </w:p>
        </w:tc>
        <w:tc>
          <w:tcPr>
            <w:tcW w:type="dxa" w:w="2800"/>
            <w:shd w:fill="FFFFFF" w:val="clear"/>
            <w:tcMar>
              <w:top w:type="dxa" w:w="80"/>
              <w:left w:type="dxa" w:w="100"/>
              <w:bottom w:type="dxa" w:w="80"/>
              <w:right w:type="dxa" w:w="100"/>
            </w:tcMar>
          </w:tcPr>
          <w:p>
            <w:pPr>
              <w:spacing w:after="0"/>
            </w:pPr>
            <w:r>
              <w:rPr>
                <w:b w:val="false"/>
                <w:bCs w:val="false"/>
                <w:sz w:val="19"/>
                <w:szCs w:val="19"/>
              </w:rPr>
              <w:t xml:space="preserve">DICT web development best practice</w:t>
            </w:r>
          </w:p>
        </w:tc>
        <w:tc>
          <w:tcPr>
            <w:tcW w:type="dxa" w:w="4560"/>
            <w:shd w:fill="FFFFFF" w:val="clear"/>
            <w:tcMar>
              <w:top w:type="dxa" w:w="80"/>
              <w:left w:type="dxa" w:w="100"/>
              <w:bottom w:type="dxa" w:w="80"/>
              <w:right w:type="dxa" w:w="100"/>
            </w:tcMar>
          </w:tcPr>
          <w:p>
            <w:pPr>
              <w:spacing w:after="0"/>
            </w:pPr>
            <w:r>
              <w:rPr>
                <w:b w:val="false"/>
                <w:bCs w:val="false"/>
                <w:sz w:val="19"/>
                <w:szCs w:val="19"/>
              </w:rPr>
              <w:t xml:space="preserve">Website must render and function correctly on mobile devices and common browsers, given most constituents access government services via smartphone.</w:t>
            </w:r>
          </w:p>
        </w:tc>
      </w:tr>
    </w:tbl>
    <w:p>
      <w:pPr>
        <w:spacing w:after="240"/>
      </w:pPr>
    </w:p>
    <w:p>
      <w:pPr>
        <w:pStyle w:val="Heading1"/>
        <w:pBdr>
          <w:bottom w:val="single" w:color="1F3864" w:sz="6" w:space="4"/>
        </w:pBdr>
        <w:spacing w:after="160" w:before="360"/>
      </w:pPr>
      <w:r>
        <w:rPr>
          <w:b/>
          <w:bCs/>
          <w:color w:val="1F3864"/>
          <w:sz w:val="28"/>
          <w:szCs w:val="28"/>
        </w:rPr>
        <w:t xml:space="preserve">Part 2 — Data &amp; Document Collection Checklist</w:t>
      </w:r>
    </w:p>
    <w:p>
      <w:pPr>
        <w:spacing w:after="100" w:before="260"/>
      </w:pPr>
      <w:r>
        <w:rPr>
          <w:b/>
          <w:bCs/>
          <w:color w:val="B8860B"/>
          <w:sz w:val="23"/>
          <w:szCs w:val="23"/>
        </w:rPr>
        <w:t xml:space="preserve">A. Municipal Profile &amp; Identity</w:t>
      </w:r>
    </w:p>
    <w:p>
      <w:pPr>
        <w:spacing w:after="140"/>
      </w:pPr>
      <w:r>
        <w:rPr>
          <w:i/>
          <w:iCs/>
          <w:sz w:val="21"/>
          <w:szCs w:val="21"/>
        </w:rPr>
        <w:t xml:space="preserve">Foundational content for the homepage and About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Official municipal name, classification, province/region, founding/charter date</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Municipal Secretary / MPDO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For the About page header</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Brief official history of Calatrava (founding, etymology, key milestones)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MPDO / local historian / SB records</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Approx. 300–800 words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Official Vision and Mission statement</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Mayor / MPDO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Exact approved wording</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Municipal seal/logo — high-resolution, vector if possible</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Office of the Mayor / Information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AI, EPS, SVG, or PNG with transparent background</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Municipal flag image (if one exists)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Mayor</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High-resolution image file</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Geographic profile: land area, boundaries, number/list of barangays, climate</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MPDO</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For About / Profile page</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Demographic profile: latest population, household count, literacy rate</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MPDO / PSA-sourced figures</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Cite year/source of data</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Socioeconomic profile: major industries, agriculture, fisheries, livelihood</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MAO / MPDO</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For About / Economy page</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Comprehensive Land Use Plan (CLUP) / Municipal Development Plan summary</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MPDO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Summary or link to full document</w:t>
            </w:r>
          </w:p>
        </w:tc>
      </w:tr>
    </w:tbl>
    <w:p>
      <w:pPr>
        <w:spacing w:after="220"/>
      </w:pPr>
    </w:p>
    <w:p>
      <w:pPr>
        <w:spacing w:after="100" w:before="260"/>
      </w:pPr>
      <w:r>
        <w:rPr>
          <w:b/>
          <w:bCs/>
          <w:color w:val="B8860B"/>
          <w:sz w:val="23"/>
          <w:szCs w:val="23"/>
        </w:rPr>
        <w:t xml:space="preserve">B. Elected &amp; Appointed Officials</w:t>
      </w:r>
    </w:p>
    <w:p>
      <w:pPr>
        <w:spacing w:after="140"/>
      </w:pPr>
      <w:r>
        <w:rPr>
          <w:i/>
          <w:iCs/>
          <w:sz w:val="21"/>
          <w:szCs w:val="21"/>
        </w:rPr>
        <w:t xml:space="preserve">For the Government/Officials section — every entry needs an official (formal, high-resolution)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Municipal Mayor: full name, official photo, short bio, term of office</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Mayor</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Portrait, min. 1200 px, formal attire</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Municipal Vice Mayor: full name, official photo, short bio</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Office of the Vice Mayor</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Same photo spec</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All Sangguniang Bayan Members: names, photos, committee assignments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SB Secretary</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One consistent photo style</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SB Secretary and Municipal Administrator: names, photos, contact</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SB / Administrator's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All Department/Office Heads (MPDO, Treasurer, Assessor, Budget, Accounting, Health, Social Welfare, Agriculture, Engineering, MDRRMO, HRMO, etc.)</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HRMO, consolidated per office</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Name, title, photo, office contact number, office hours</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List of all Barangay Captains with contact details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MLGOO / DILG Calatrava field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Name, barangay, mobile/landline</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SK Federation President / SK officials (if to be featured)</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MSWDO / SK Federation</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Optional</w:t>
            </w:r>
          </w:p>
        </w:tc>
      </w:tr>
    </w:tbl>
    <w:p>
      <w:pPr>
        <w:spacing w:after="220"/>
      </w:pPr>
    </w:p>
    <w:p>
      <w:pPr>
        <w:spacing w:after="100" w:before="260"/>
      </w:pPr>
      <w:r>
        <w:rPr>
          <w:b/>
          <w:bCs/>
          <w:color w:val="B8860B"/>
          <w:sz w:val="23"/>
          <w:szCs w:val="23"/>
        </w:rPr>
        <w:t xml:space="preserve">C. Organizational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Current, approved organizational chart</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HRMO / Municipal Administrator</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Editable file (Word/PPT/Visio) preferred over image</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List of all municipal offices/departments with mandate/functions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HRMO</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For a 'Departments' directory page</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Plantilla/staffing summary (optional, for transparency)</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HRMO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Optional inclusion</w:t>
            </w:r>
          </w:p>
        </w:tc>
      </w:tr>
    </w:tbl>
    <w:p>
      <w:pPr>
        <w:spacing w:after="220"/>
      </w:pPr>
    </w:p>
    <w:p>
      <w:pPr>
        <w:spacing w:after="100" w:before="260"/>
      </w:pPr>
      <w:r>
        <w:rPr>
          <w:b/>
          <w:bCs/>
          <w:color w:val="B8860B"/>
          <w:sz w:val="23"/>
          <w:szCs w:val="23"/>
        </w:rPr>
        <w:t xml:space="preserve">D. Transparency &amp; Full Disclosure Policy (DILG MC 2010-083, as amended)</w:t>
      </w:r>
    </w:p>
    <w:p>
      <w:pPr>
        <w:spacing w:after="140"/>
      </w:pPr>
      <w:r>
        <w:rPr>
          <w:i/>
          <w:iCs/>
          <w:sz w:val="21"/>
          <w:szCs w:val="21"/>
        </w:rPr>
        <w:t xml:space="preserve">Required disclosure documents — mandatory under DILG's Full Disclosure Policy; must also be reflected on the FDP Portal (fdpp.dilg.gov.ph).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Annual/Supplemental Budget (Appropriation Ordinance)</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Budget Office</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PDF, current and prior 2 years if available</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Annual Procurement Plan (APP)</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BAC Secretariat</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PDF</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Invitation to Bid / Items for Bidding and Bid Results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BAC Secretariat</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Updated regularly</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20% Local Development Fund utilization report</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Budget Office / Accounting</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Quarterly</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Statement of Receipts and Expenditures (SRE)</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Municipal Treasurer's Office</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Quarterly</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Annual Financial Statement / Trial Balance</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Accounting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Annual</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Local Development Council (LDC) membership and minutes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MPDO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Local Disaster Risk Reduction &amp; Management Fund (LDRRMF) utilization report</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MDRRMO</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Quarterly</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Gender and Development (GAD) Plan, Budget &amp; Accomplishment Report</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MSWDO / GAD Focal Point</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Annual</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Statement of Debt Service (if applicable)</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Municipal Treasurer's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Annual Report / State of the Municipality Address (SOMA)</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Mayor</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Most recent</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Transparency Seal compliance documents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Budget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Per DBM/DILG format</w:t>
            </w:r>
          </w:p>
        </w:tc>
      </w:tr>
    </w:tbl>
    <w:p>
      <w:pPr>
        <w:spacing w:after="220"/>
      </w:pPr>
    </w:p>
    <w:p>
      <w:pPr>
        <w:spacing w:after="100" w:before="260"/>
      </w:pPr>
      <w:r>
        <w:rPr>
          <w:b/>
          <w:bCs/>
          <w:color w:val="B8860B"/>
          <w:sz w:val="23"/>
          <w:szCs w:val="23"/>
        </w:rPr>
        <w:t xml:space="preserve">E. Citizen's Charter &amp; Public Services (RA 11032 / ARTA)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Complete Citizen's Charter per frontline service: requirements checklist, step-by-step procedure, processing time, fees, and responsible officer</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Every frontline office (Treasurer, Business Permits/MTO, Civil Registrar, Health, Assessor, Engineering, etc.), consolidated by the Municipal Secretary</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Follow ARTA's prescribed Citizen's Charter format</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List of all frontline/priority services offered</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All offices</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e.g., business permits, building permits, civil registry documents, health certificates, real property tax</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Downloadable application forms for each service</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Each concerned office</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Editable/fillable PDF preferred</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Client feedback / complaint mechanism (hotline, email, suggestion box)</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PACD / Office of the Mayor</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Latest ARTA Report Card Survey results (if available)</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Municipal Secretary</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Optional</w:t>
            </w:r>
          </w:p>
        </w:tc>
      </w:tr>
    </w:tbl>
    <w:p>
      <w:pPr>
        <w:spacing w:after="220"/>
      </w:pPr>
    </w:p>
    <w:p>
      <w:pPr>
        <w:spacing w:after="100" w:before="260"/>
      </w:pPr>
      <w:r>
        <w:rPr>
          <w:b/>
          <w:bCs/>
          <w:color w:val="B8860B"/>
          <w:sz w:val="23"/>
          <w:szCs w:val="23"/>
        </w:rPr>
        <w:t xml:space="preserve">F. News, Announcements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Recent press releases / news items (last 6–12 months), with photos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Information Office / Office of the Mayor</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Text + supporting images</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Upcoming events / calendar of activities (fiestas, programs)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Office of the Mayor / Tourism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Job vacancies / plantilla openings (if any)</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HRMO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Ongoing updates</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Public advisories (weather, health, disaster preparedness)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MDRRMO / Municipal Health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Template for recurring advisories</w:t>
            </w:r>
          </w:p>
        </w:tc>
      </w:tr>
    </w:tbl>
    <w:p>
      <w:pPr>
        <w:spacing w:after="220"/>
      </w:pPr>
    </w:p>
    <w:p>
      <w:pPr>
        <w:spacing w:after="100" w:before="260"/>
      </w:pPr>
      <w:r>
        <w:rPr>
          <w:b/>
          <w:bCs/>
          <w:color w:val="B8860B"/>
          <w:sz w:val="23"/>
          <w:szCs w:val="23"/>
        </w:rPr>
        <w:t xml:space="preserve">G. Ordinances, Resolutions &amp; Issuances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Approved Municipal Ordinances (recent and significant), scanned copies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SB Secretary</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Searchable PDF preferred</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Sangguniang Bayan Resolutions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SB Secretary</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Searchable PDF preferred</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Executive Orders issued by the Mayor</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Mayor</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Investment- or business-friendly ordinances (for investment promotion, if any)</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MTO / MPDO</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Optional highlight</w:t>
            </w:r>
          </w:p>
        </w:tc>
      </w:tr>
    </w:tbl>
    <w:p>
      <w:pPr>
        <w:spacing w:after="220"/>
      </w:pPr>
    </w:p>
    <w:p>
      <w:pPr>
        <w:spacing w:after="100" w:before="260"/>
      </w:pPr>
      <w:r>
        <w:rPr>
          <w:b/>
          <w:bCs/>
          <w:color w:val="B8860B"/>
          <w:sz w:val="23"/>
          <w:szCs w:val="23"/>
        </w:rPr>
        <w:t xml:space="preserve">H. Barangay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List of all barangays: captain, population, land area, contact details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MLGOO / DILG Calatrava</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Municipal/barangay boundary map (GIS layer if available)</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MPDO</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Image or GIS file</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Barangay hall contact details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MLGOO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
            </w:r>
          </w:p>
        </w:tc>
      </w:tr>
    </w:tbl>
    <w:p>
      <w:pPr>
        <w:spacing w:after="220"/>
      </w:pPr>
    </w:p>
    <w:p>
      <w:pPr>
        <w:spacing w:after="100" w:before="260"/>
      </w:pPr>
      <w:r>
        <w:rPr>
          <w:b/>
          <w:bCs/>
          <w:color w:val="B8860B"/>
          <w:sz w:val="23"/>
          <w:szCs w:val="23"/>
        </w:rPr>
        <w:t xml:space="preserve">I. Tourism &amp; Local Economy</w:t>
      </w:r>
    </w:p>
    <w:p>
      <w:pPr>
        <w:spacing w:after="140"/>
      </w:pPr>
      <w:r>
        <w:rPr>
          <w:i/>
          <w:iCs/>
          <w:sz w:val="21"/>
          <w:szCs w:val="21"/>
        </w:rPr>
        <w:t xml:space="preserve">Content may be adapted/linked from the existing tourism portal (calatravaromblon.gov.ph) — please confirm ownership and whether it should be merged into the new site or kept separate and 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Tourist destinations/attractions details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Tourism Office</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May reuse existing tourism portal content</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Accommodation and travel guide information</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Tourism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Local products / One Town One Product (OTOP) information</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MAO / DTI liaison</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Investment opportunities / local economic profile</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MPDO / MTO</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
            </w:r>
          </w:p>
        </w:tc>
      </w:tr>
    </w:tbl>
    <w:p>
      <w:pPr>
        <w:spacing w:after="220"/>
      </w:pPr>
    </w:p>
    <w:p>
      <w:pPr>
        <w:spacing w:after="100" w:before="260"/>
      </w:pPr>
      <w:r>
        <w:rPr>
          <w:b/>
          <w:bCs/>
          <w:color w:val="B8860B"/>
          <w:sz w:val="23"/>
          <w:szCs w:val="23"/>
        </w:rPr>
        <w:t xml:space="preserve">J. Media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High-resolution photos: Municipal Hall, landmarks, events, officials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Information Office</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Min. 1920×1080; original files, not screenshots</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Municipal seal/logo in vector format, with usage guidelines if any</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Office of the Mayor</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SVG/AI/EPS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Drone/aerial photos or footage (if available)</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Tourism Office / MDRRMO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Optional</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Promotional videos (if any)</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Tourism Office / Information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Optional, with rights confirmed</w:t>
            </w:r>
          </w:p>
        </w:tc>
      </w:tr>
    </w:tbl>
    <w:p>
      <w:pPr>
        <w:spacing w:after="220"/>
      </w:pPr>
    </w:p>
    <w:p>
      <w:pPr>
        <w:spacing w:after="100" w:before="260"/>
      </w:pPr>
      <w:r>
        <w:rPr>
          <w:b/>
          <w:bCs/>
          <w:color w:val="B8860B"/>
          <w:sz w:val="23"/>
          <w:szCs w:val="23"/>
        </w:rPr>
        <w:t xml:space="preserve">K. Contact &amp; Emergency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Official municipal hall address, trunk line, email, office hours</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Municipal Secretary</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Directory of all department contact numbers/emails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HRMO</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Emergency hotlines (MDRRMO, PNP, BFP, hospital/RHU)</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MDRRMO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Existing social media accounts (Facebook page links/handles)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Information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Confirm admin access for content reuse</w:t>
            </w:r>
          </w:p>
        </w:tc>
      </w:tr>
    </w:tbl>
    <w:p>
      <w:pPr>
        <w:spacing w:after="220"/>
      </w:pPr>
    </w:p>
    <w:p>
      <w:pPr>
        <w:spacing w:after="100" w:before="260"/>
      </w:pPr>
      <w:r>
        <w:rPr>
          <w:b/>
          <w:bCs/>
          <w:color w:val="B8860B"/>
          <w:sz w:val="23"/>
          <w:szCs w:val="23"/>
        </w:rPr>
        <w:t xml:space="preserve">L. Technical &amp; Administrative Items</w:t>
      </w:r>
    </w:p>
    <w:p>
      <w:pPr>
        <w:spacing w:after="140"/>
      </w:pPr>
      <w:r>
        <w:rPr>
          <w:i/>
          <w:iCs/>
          <w:sz w:val="21"/>
          <w:szCs w:val="21"/>
        </w:rPr>
        <w:t xml:space="preserve">For the development team's planning — please route to whoever manages IT/ICT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2400"/>
        <w:gridCol w:w="2900"/>
      </w:tblGrid>
      <w:tr>
        <w:trPr>
          <w:tblHeader/>
        </w:trPr>
        <w:tc>
          <w:tcPr>
            <w:tcW w:type="dxa" w:w="500"/>
            <w:shd w:fill="1F3864" w:val="clear"/>
            <w:tcMar>
              <w:top w:type="dxa" w:w="80"/>
              <w:left w:type="dxa" w:w="100"/>
              <w:bottom w:type="dxa" w:w="80"/>
              <w:right w:type="dxa" w:w="100"/>
            </w:tcMar>
            <w:vAlign w:val="center"/>
          </w:tcPr>
          <w:p>
            <w:pPr>
              <w:spacing w:after="0"/>
            </w:pPr>
            <w:r>
              <w:rPr>
                <w:b/>
                <w:bCs/>
                <w:color w:val="FFFFFF"/>
                <w:sz w:val="19"/>
                <w:szCs w:val="19"/>
              </w:rPr>
              <w:t xml:space="preserve">✓</w:t>
            </w:r>
          </w:p>
        </w:tc>
        <w:tc>
          <w:tcPr>
            <w:tcW w:type="dxa" w:w="3560"/>
            <w:shd w:fill="1F3864" w:val="clear"/>
            <w:tcMar>
              <w:top w:type="dxa" w:w="80"/>
              <w:left w:type="dxa" w:w="100"/>
              <w:bottom w:type="dxa" w:w="80"/>
              <w:right w:type="dxa" w:w="100"/>
            </w:tcMar>
            <w:vAlign w:val="center"/>
          </w:tcPr>
          <w:p>
            <w:pPr>
              <w:spacing w:after="0"/>
            </w:pPr>
            <w:r>
              <w:rPr>
                <w:b/>
                <w:bCs/>
                <w:color w:val="FFFFFF"/>
                <w:sz w:val="19"/>
                <w:szCs w:val="19"/>
              </w:rPr>
              <w:t xml:space="preserve">Document / Data Needed</w:t>
            </w:r>
          </w:p>
        </w:tc>
        <w:tc>
          <w:tcPr>
            <w:tcW w:type="dxa" w:w="2400"/>
            <w:shd w:fill="1F3864" w:val="clear"/>
            <w:tcMar>
              <w:top w:type="dxa" w:w="80"/>
              <w:left w:type="dxa" w:w="100"/>
              <w:bottom w:type="dxa" w:w="80"/>
              <w:right w:type="dxa" w:w="100"/>
            </w:tcMar>
            <w:vAlign w:val="center"/>
          </w:tcPr>
          <w:p>
            <w:pPr>
              <w:spacing w:after="0"/>
            </w:pPr>
            <w:r>
              <w:rPr>
                <w:b/>
                <w:bCs/>
                <w:color w:val="FFFFFF"/>
                <w:sz w:val="19"/>
                <w:szCs w:val="19"/>
              </w:rPr>
              <w:t xml:space="preserve">Suggested Source Office</w:t>
            </w:r>
          </w:p>
        </w:tc>
        <w:tc>
          <w:tcPr>
            <w:tcW w:type="dxa" w:w="2900"/>
            <w:shd w:fill="1F3864" w:val="clear"/>
            <w:tcMar>
              <w:top w:type="dxa" w:w="80"/>
              <w:left w:type="dxa" w:w="100"/>
              <w:bottom w:type="dxa" w:w="80"/>
              <w:right w:type="dxa" w:w="100"/>
            </w:tcMar>
            <w:vAlign w:val="center"/>
          </w:tcPr>
          <w:p>
            <w:pPr>
              <w:spacing w:after="0"/>
            </w:pPr>
            <w:r>
              <w:rPr>
                <w:b/>
                <w:bCs/>
                <w:color w:val="FFFFFF"/>
                <w:sz w:val="19"/>
                <w:szCs w:val="19"/>
              </w:rPr>
              <w:t xml:space="preserve">Format / Notes</w:t>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Status of the calatravaromblon.gov.ph domain — is it LGU-owned and DICT-cleared, and should the new site use this domain?</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Mayor / ICT focal person</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Critical — confirms domain strategy</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Designated ICT focal person or MIS staff, with contact details</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HRMO / Office of the Mayor</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Existing online systems to integrate (e.g., online business permit application, e-payment, document tracking)</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MTO/BPLO / any existing IT provider</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List systems and, if possible, API/access details</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Hosting preference or existing GovCloud/government hosting subscription</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ICT focal person / Budget Office</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
            </w:r>
          </w:p>
        </w:tc>
      </w:tr>
      <w:tr>
        <w:tc>
          <w:tcPr>
            <w:tcW w:type="dxa" w:w="500"/>
            <w:shd w:fill="FFFFFF" w:val="clear"/>
            <w:tcMar>
              <w:top w:type="dxa" w:w="60"/>
              <w:left w:type="dxa" w:w="100"/>
              <w:bottom w:type="dxa" w:w="60"/>
              <w:right w:type="dxa" w:w="100"/>
            </w:tcMar>
            <w:vAlign w:val="center"/>
          </w:tcPr>
          <w:p>
            <w:pPr>
              <w:jc w:val="center"/>
            </w:pPr>
            <w:r>
              <w:rPr>
                <w:sz w:val="24"/>
                <w:szCs w:val="24"/>
              </w:rPr>
              <w:t xml:space="preserve">☐</w:t>
            </w:r>
          </w:p>
        </w:tc>
        <w:tc>
          <w:tcPr>
            <w:tcW w:type="dxa" w:w="3560"/>
            <w:shd w:fill="FFFFFF" w:val="clear"/>
            <w:tcMar>
              <w:top w:type="dxa" w:w="60"/>
              <w:left w:type="dxa" w:w="100"/>
              <w:bottom w:type="dxa" w:w="60"/>
              <w:right w:type="dxa" w:w="100"/>
            </w:tcMar>
            <w:vAlign w:val="center"/>
          </w:tcPr>
          <w:p>
            <w:pPr>
              <w:spacing w:after="0"/>
            </w:pPr>
            <w:r>
              <w:rPr>
                <w:b w:val="false"/>
                <w:bCs w:val="false"/>
                <w:sz w:val="19"/>
                <w:szCs w:val="19"/>
              </w:rPr>
              <w:t xml:space="preserve">Designated Data Protection Officer (DPO) name and contact</w:t>
            </w:r>
          </w:p>
        </w:tc>
        <w:tc>
          <w:tcPr>
            <w:tcW w:type="dxa" w:w="2400"/>
            <w:shd w:fill="FFFFFF" w:val="clear"/>
            <w:tcMar>
              <w:top w:type="dxa" w:w="60"/>
              <w:left w:type="dxa" w:w="100"/>
              <w:bottom w:type="dxa" w:w="60"/>
              <w:right w:type="dxa" w:w="100"/>
            </w:tcMar>
            <w:vAlign w:val="center"/>
          </w:tcPr>
          <w:p>
            <w:pPr>
              <w:spacing w:after="0"/>
            </w:pPr>
            <w:r>
              <w:rPr>
                <w:b w:val="false"/>
                <w:bCs w:val="false"/>
                <w:sz w:val="19"/>
                <w:szCs w:val="19"/>
              </w:rPr>
              <w:t xml:space="preserve">Office of the Mayor / HRMO</w:t>
            </w:r>
          </w:p>
        </w:tc>
        <w:tc>
          <w:tcPr>
            <w:tcW w:type="dxa" w:w="2900"/>
            <w:shd w:fill="FFFFFF" w:val="clear"/>
            <w:tcMar>
              <w:top w:type="dxa" w:w="60"/>
              <w:left w:type="dxa" w:w="100"/>
              <w:bottom w:type="dxa" w:w="60"/>
              <w:right w:type="dxa" w:w="100"/>
            </w:tcMar>
            <w:vAlign w:val="center"/>
          </w:tcPr>
          <w:p>
            <w:pPr>
              <w:spacing w:after="0"/>
            </w:pPr>
            <w:r>
              <w:rPr>
                <w:b w:val="false"/>
                <w:bCs w:val="false"/>
                <w:sz w:val="19"/>
                <w:szCs w:val="19"/>
              </w:rPr>
              <w:t xml:space="preserve">Required under RA 10173</w:t>
            </w:r>
          </w:p>
        </w:tc>
      </w:tr>
      <w:tr>
        <w:tc>
          <w:tcPr>
            <w:tcW w:type="dxa" w:w="500"/>
            <w:shd w:fill="F2F2F2" w:val="clear"/>
            <w:tcMar>
              <w:top w:type="dxa" w:w="60"/>
              <w:left w:type="dxa" w:w="100"/>
              <w:bottom w:type="dxa" w:w="60"/>
              <w:right w:type="dxa" w:w="100"/>
            </w:tcMar>
            <w:vAlign w:val="center"/>
          </w:tcPr>
          <w:p>
            <w:pPr>
              <w:jc w:val="center"/>
            </w:pPr>
            <w:r>
              <w:rPr>
                <w:sz w:val="24"/>
                <w:szCs w:val="24"/>
              </w:rPr>
              <w:t xml:space="preserve">☐</w:t>
            </w:r>
          </w:p>
        </w:tc>
        <w:tc>
          <w:tcPr>
            <w:tcW w:type="dxa" w:w="3560"/>
            <w:shd w:fill="F2F2F2" w:val="clear"/>
            <w:tcMar>
              <w:top w:type="dxa" w:w="60"/>
              <w:left w:type="dxa" w:w="100"/>
              <w:bottom w:type="dxa" w:w="60"/>
              <w:right w:type="dxa" w:w="100"/>
            </w:tcMar>
            <w:vAlign w:val="center"/>
          </w:tcPr>
          <w:p>
            <w:pPr>
              <w:spacing w:after="0"/>
            </w:pPr>
            <w:r>
              <w:rPr>
                <w:b w:val="false"/>
                <w:bCs w:val="false"/>
                <w:sz w:val="19"/>
                <w:szCs w:val="19"/>
              </w:rPr>
              <w:t xml:space="preserve">Preferred color scheme / branding guide (beyond the official seal)</w:t>
            </w:r>
          </w:p>
        </w:tc>
        <w:tc>
          <w:tcPr>
            <w:tcW w:type="dxa" w:w="2400"/>
            <w:shd w:fill="F2F2F2" w:val="clear"/>
            <w:tcMar>
              <w:top w:type="dxa" w:w="60"/>
              <w:left w:type="dxa" w:w="100"/>
              <w:bottom w:type="dxa" w:w="60"/>
              <w:right w:type="dxa" w:w="100"/>
            </w:tcMar>
            <w:vAlign w:val="center"/>
          </w:tcPr>
          <w:p>
            <w:pPr>
              <w:spacing w:after="0"/>
            </w:pPr>
            <w:r>
              <w:rPr>
                <w:b w:val="false"/>
                <w:bCs w:val="false"/>
                <w:sz w:val="19"/>
                <w:szCs w:val="19"/>
              </w:rPr>
              <w:t xml:space="preserve">Office of the Mayor</w:t>
            </w:r>
          </w:p>
        </w:tc>
        <w:tc>
          <w:tcPr>
            <w:tcW w:type="dxa" w:w="2900"/>
            <w:shd w:fill="F2F2F2" w:val="clear"/>
            <w:tcMar>
              <w:top w:type="dxa" w:w="60"/>
              <w:left w:type="dxa" w:w="100"/>
              <w:bottom w:type="dxa" w:w="60"/>
              <w:right w:type="dxa" w:w="100"/>
            </w:tcMar>
            <w:vAlign w:val="center"/>
          </w:tcPr>
          <w:p>
            <w:pPr>
              <w:spacing w:after="0"/>
            </w:pPr>
            <w:r>
              <w:rPr>
                <w:b w:val="false"/>
                <w:bCs w:val="false"/>
                <w:sz w:val="19"/>
                <w:szCs w:val="19"/>
              </w:rPr>
              <w:t xml:space="preserve">Optional — otherwise design team proposes one</w:t>
            </w:r>
          </w:p>
        </w:tc>
      </w:tr>
    </w:tbl>
    <w:p>
      <w:pPr>
        <w:spacing w:after="220"/>
      </w:pPr>
    </w:p>
    <w:p>
      <w:pPr>
        <w:pStyle w:val="Heading1"/>
        <w:pBdr>
          <w:bottom w:val="single" w:color="1F3864" w:sz="6" w:space="4"/>
        </w:pBdr>
        <w:spacing w:after="160" w:before="360"/>
      </w:pPr>
      <w:r>
        <w:rPr>
          <w:b/>
          <w:bCs/>
          <w:color w:val="1F3864"/>
          <w:sz w:val="28"/>
          <w:szCs w:val="28"/>
        </w:rPr>
        <w:t xml:space="preserve">Notes for the Collation Team</w:t>
      </w:r>
    </w:p>
    <w:p>
      <w:pPr>
        <w:pStyle w:val="ListParagraph"/>
        <w:numPr>
          <w:ilvl w:val="0"/>
          <w:numId w:val="1"/>
        </w:numPr>
        <w:spacing w:after="60"/>
      </w:pPr>
      <w:r>
        <w:rPr>
          <w:sz w:val="21"/>
          <w:szCs w:val="21"/>
        </w:rPr>
        <w:t xml:space="preserve">Please return items as digital files (Word, PDF, or high-resolution image) wherever possible rather than printed copies, to speed up website development.</w:t>
      </w:r>
    </w:p>
    <w:p>
      <w:pPr>
        <w:pStyle w:val="ListParagraph"/>
        <w:numPr>
          <w:ilvl w:val="0"/>
          <w:numId w:val="1"/>
        </w:numPr>
        <w:spacing w:after="60"/>
      </w:pPr>
      <w:r>
        <w:rPr>
          <w:sz w:val="21"/>
          <w:szCs w:val="21"/>
        </w:rPr>
        <w:t xml:space="preserve">Where a document does not yet exist (e.g., an updated organizational chart or a Citizen's Charter for a specific service), please flag it so the requesting office can prepare or update it.</w:t>
      </w:r>
    </w:p>
    <w:p>
      <w:pPr>
        <w:pStyle w:val="ListParagraph"/>
        <w:numPr>
          <w:ilvl w:val="0"/>
          <w:numId w:val="1"/>
        </w:numPr>
        <w:spacing w:after="60"/>
      </w:pPr>
      <w:r>
        <w:rPr>
          <w:sz w:val="21"/>
          <w:szCs w:val="21"/>
        </w:rPr>
        <w:t xml:space="preserve">If any item is confidential or not for public posting, please note this when submitting so it is excluded from the public website.</w:t>
      </w:r>
    </w:p>
    <w:p>
      <w:pPr>
        <w:pStyle w:val="ListParagraph"/>
        <w:numPr>
          <w:ilvl w:val="0"/>
          <w:numId w:val="1"/>
        </w:numPr>
        <w:spacing w:after="60"/>
      </w:pPr>
      <w:r>
        <w:rPr>
          <w:sz w:val="21"/>
          <w:szCs w:val="21"/>
        </w:rPr>
        <w:t xml:space="preserve">A single point of contact per office is recommended to avoid duplicate or conflicting submissions.</w:t>
      </w:r>
    </w:p>
    <w:p>
      <w:pPr>
        <w:spacing w:after="200"/>
      </w:pPr>
    </w:p>
    <w:p>
      <w:pPr>
        <w:spacing w:after="60"/>
      </w:pPr>
      <w:r>
        <w:rPr>
          <w:sz w:val="21"/>
          <w:szCs w:val="21"/>
        </w:rPr>
        <w:t xml:space="preserve">Target return date: ______________________</w:t>
      </w:r>
    </w:p>
    <w:p>
      <w:pPr>
        <w:spacing w:after="60"/>
      </w:pPr>
      <w:r>
        <w:rPr>
          <w:sz w:val="21"/>
          <w:szCs w:val="21"/>
        </w:rPr>
        <w:t xml:space="preserve">Consolidation point of contact: ______________________</w:t>
      </w:r>
    </w:p>
    <w:p>
      <w:pPr>
        <w:spacing w:after="60"/>
      </w:pPr>
      <w:r>
        <w:rPr>
          <w:sz w:val="21"/>
          <w:szCs w:val="21"/>
        </w:rPr>
        <w:t xml:space="preserve">Prepared by: ______________________          Date: 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Calatrava LGU Website — Data Collection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2026-08-31T10:52:59.565Z</dcterms:created>
  <dcterms:modified xsi:type="dcterms:W3CDTF">2026-08-31T10:52:59.580Z</dcterms:modified>
</cp:coreProperties>
</file>

<file path=docProps/custom.xml><?xml version="1.0" encoding="utf-8"?>
<Properties xmlns="http://schemas.openxmlformats.org/officeDocument/2006/custom-properties" xmlns:vt="http://schemas.openxmlformats.org/officeDocument/2006/docPropsVTypes"/>
</file>