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8FFC7A" w14:textId="77777777" w:rsidR="00CE409D" w:rsidRPr="00CE409D" w:rsidRDefault="00CE409D" w:rsidP="00E1631E">
      <w:pPr>
        <w:pStyle w:val="Heading1"/>
      </w:pPr>
      <w:r w:rsidRPr="00CE409D">
        <w:t>Integrated Framework for Taxonomy Evaluation</w:t>
      </w:r>
    </w:p>
    <w:p w14:paraId="46597103" w14:textId="77777777" w:rsidR="00D16252" w:rsidRPr="00D16252" w:rsidRDefault="00D16252" w:rsidP="00D16252">
      <w:r w:rsidRPr="00D16252">
        <w:t>The Integrated Framework for Taxonomy Evaluation establishes a systematic approach to embedding ethical principles into AI systems. This approach ensures that principles are both theoretically grounded and practically actionable, addressing diverse challenges in AI governance. By synthesizing normative ideals with actionable tools, the framework bridges gaps in existing governance models. These gaps include a lack of dynamic adaptability to rapidly evolving technologies and limited integration of cultural and regional priorities.</w:t>
      </w:r>
    </w:p>
    <w:p w14:paraId="70514911" w14:textId="77777777" w:rsidR="00D16252" w:rsidRPr="00D16252" w:rsidRDefault="00D16252" w:rsidP="00D16252">
      <w:r w:rsidRPr="00D16252">
        <w:t>Existing frameworks often struggle to adapt to technologies like autonomous vehicles and generative AI systems, such as ChatGPT. Autonomous vehicles, for example, require split-second decision-making in life-and-death scenarios, yet governance models lack clear accountability and transparency mechanisms. Generative AI systems evolve rapidly, frequently outpacing regulatory standards, which creates significant gaps in oversight. Additionally, frameworks often fail to accommodate diverse societal norms and values, leading to misaligned policies and inconsistent implementation of core principles like transparency and accountability across industries and regions.</w:t>
      </w:r>
    </w:p>
    <w:p w14:paraId="2DA25EDE" w14:textId="77777777" w:rsidR="00CE409D" w:rsidRPr="00CE409D" w:rsidRDefault="00CE409D" w:rsidP="00BB2EAB">
      <w:pPr>
        <w:pStyle w:val="Heading2"/>
      </w:pPr>
      <w:r w:rsidRPr="00CE409D">
        <w:t>NRBC Framework: Core Values and Structure</w:t>
      </w:r>
    </w:p>
    <w:p w14:paraId="491E3E90" w14:textId="77777777" w:rsidR="00CE409D" w:rsidRPr="00CE409D" w:rsidRDefault="00CE409D" w:rsidP="00CE409D">
      <w:r w:rsidRPr="00CE409D">
        <w:t>The framework maps the Core Values—</w:t>
      </w:r>
      <w:r w:rsidRPr="00CE409D">
        <w:rPr>
          <w:b/>
          <w:bCs/>
        </w:rPr>
        <w:t>Trust, Fairness, Transparency, Accountability, and Non-Maleficence</w:t>
      </w:r>
      <w:r w:rsidRPr="00CE409D">
        <w:t>—across the NRBC framework. This structure, which stands for Normative, Regulatory, Behavioral, and Conceptual categories, provides a comprehensive lens for embedding ethical principles into AI systems. Each category serves a distinct role:</w:t>
      </w:r>
    </w:p>
    <w:p w14:paraId="2852F1CB" w14:textId="77777777" w:rsidR="00CE409D" w:rsidRPr="00CE409D" w:rsidRDefault="00CE409D" w:rsidP="00CE409D">
      <w:pPr>
        <w:numPr>
          <w:ilvl w:val="0"/>
          <w:numId w:val="5"/>
        </w:numPr>
      </w:pPr>
      <w:r w:rsidRPr="00CE409D">
        <w:rPr>
          <w:b/>
          <w:bCs/>
        </w:rPr>
        <w:t>Normative</w:t>
      </w:r>
      <w:r w:rsidRPr="00CE409D">
        <w:t>: Establishes universal ethical principles such as fairness and transparency, applied across diverse cultural and regulatory contexts. For instance, fairness may involve equitable resource allocation in public healthcare systems or impartiality in judicial decision-making.</w:t>
      </w:r>
    </w:p>
    <w:p w14:paraId="1112C1E1" w14:textId="77777777" w:rsidR="00CE409D" w:rsidRPr="00CE409D" w:rsidRDefault="00CE409D" w:rsidP="00CE409D">
      <w:pPr>
        <w:numPr>
          <w:ilvl w:val="0"/>
          <w:numId w:val="5"/>
        </w:numPr>
      </w:pPr>
      <w:r w:rsidRPr="00CE409D">
        <w:rPr>
          <w:b/>
          <w:bCs/>
        </w:rPr>
        <w:t>Regulatory</w:t>
      </w:r>
      <w:r w:rsidRPr="00CE409D">
        <w:t>: Translates these principles into enforceable standards and compliance mechanisms. Transparency, for example, ensures adherence to frameworks like HIPAA in healthcare and the Sarbanes-Oxley Act in finance.</w:t>
      </w:r>
    </w:p>
    <w:p w14:paraId="17A49302" w14:textId="77777777" w:rsidR="00CE409D" w:rsidRPr="00CE409D" w:rsidRDefault="00CE409D" w:rsidP="00CE409D">
      <w:pPr>
        <w:numPr>
          <w:ilvl w:val="0"/>
          <w:numId w:val="5"/>
        </w:numPr>
      </w:pPr>
      <w:r w:rsidRPr="00CE409D">
        <w:rPr>
          <w:b/>
          <w:bCs/>
        </w:rPr>
        <w:t>Behavioral</w:t>
      </w:r>
      <w:r w:rsidRPr="00CE409D">
        <w:t>: Focuses on the real-world impacts of AI systems on users and stakeholders, fostering trust and engagement through accessible information and user-centered design.</w:t>
      </w:r>
    </w:p>
    <w:p w14:paraId="1FA86508" w14:textId="77777777" w:rsidR="00CE409D" w:rsidRPr="00CE409D" w:rsidRDefault="00CE409D" w:rsidP="00CE409D">
      <w:pPr>
        <w:numPr>
          <w:ilvl w:val="0"/>
          <w:numId w:val="5"/>
        </w:numPr>
      </w:pPr>
      <w:r w:rsidRPr="00CE409D">
        <w:rPr>
          <w:b/>
          <w:bCs/>
        </w:rPr>
        <w:t>Conceptual</w:t>
      </w:r>
      <w:r w:rsidRPr="00CE409D">
        <w:t>: Emphasizes long-term adaptability and sustainability, enabling the framework to evolve with technological advancements and societal changes. Non-Maleficence underpins this category by addressing harm prevention and environmental stewardship.</w:t>
      </w:r>
    </w:p>
    <w:p w14:paraId="1A38AB51" w14:textId="77777777" w:rsidR="00CE409D" w:rsidRPr="00CE409D" w:rsidRDefault="00CE409D" w:rsidP="00BB2EAB">
      <w:pPr>
        <w:pStyle w:val="Heading2"/>
      </w:pPr>
      <w:r w:rsidRPr="00CE409D">
        <w:t>Adaptability and Integration</w:t>
      </w:r>
    </w:p>
    <w:p w14:paraId="0B10F9E0" w14:textId="77777777" w:rsidR="00CE409D" w:rsidRPr="00CE409D" w:rsidRDefault="00CE409D" w:rsidP="00CE409D">
      <w:r w:rsidRPr="00CE409D">
        <w:t xml:space="preserve">The NRBC framework enhances adaptability through iterative feedback loops, scenario testing, and stakeholder engagement. Scenario analysis evaluates system behavior under diverse future conditions, such as testing AI-powered traffic management systems during natural disasters to assess resource prioritization and risk mitigation. Stakeholder engagement ensures that cultural, </w:t>
      </w:r>
      <w:r w:rsidRPr="00CE409D">
        <w:lastRenderedPageBreak/>
        <w:t>social, and sectoral priorities inform the framework, making it globally relevant. Impact modeling further evaluates the societal, environmental, and technological implications of ethical principles, ensuring precision and foresight in evolving contexts.</w:t>
      </w:r>
    </w:p>
    <w:p w14:paraId="254EC9BD" w14:textId="77777777" w:rsidR="00CE409D" w:rsidRPr="00CE409D" w:rsidRDefault="00CE409D" w:rsidP="00AF6DCF">
      <w:pPr>
        <w:pStyle w:val="Heading2"/>
      </w:pPr>
      <w:r w:rsidRPr="00CE409D">
        <w:t>Mapping NRBCs to Core Values: Bridging Principles and Practice</w:t>
      </w:r>
    </w:p>
    <w:p w14:paraId="5A9E1673" w14:textId="77777777" w:rsidR="00CE409D" w:rsidRPr="00CE409D" w:rsidRDefault="00CE409D" w:rsidP="00CE409D">
      <w:r w:rsidRPr="00CE409D">
        <w:t>Mapping NRBCs to the Core Values of Trust, Fairness, Transparency, Accountability, and Non-Maleficence establishes a direct connection between abstract ethical principles and their practical application. This mapping process ensures that each Core Value is operationalized systematically across the four NRBC categories.</w:t>
      </w:r>
    </w:p>
    <w:p w14:paraId="7DD01BDB" w14:textId="77777777" w:rsidR="00CE409D" w:rsidRPr="00CE409D" w:rsidRDefault="00CE409D" w:rsidP="00CE409D">
      <w:r w:rsidRPr="00CE409D">
        <w:t>Transparency, for example, is embedded at every stage. As a Normative principle, it emphasizes openness and honesty as ethical imperatives. Regulatory applications translate this into enforceable requirements, such as compliance with HIPAA in healthcare or Sarbanes-Oxley in finance. Behaviorally, transparency fosters trust by providing users with clear, accessible information about AI decisions. Conceptually, transparency supports long-term adaptability by aligning systems with societal expectations for accountability and openness.</w:t>
      </w:r>
    </w:p>
    <w:p w14:paraId="33C997D8" w14:textId="77777777" w:rsidR="00CE409D" w:rsidRPr="00CE409D" w:rsidRDefault="00CE409D" w:rsidP="00CE409D">
      <w:r w:rsidRPr="00CE409D">
        <w:t>Similarly, Non-Maleficence operates across the NRBC framework. As a Normative value, it establishes harm prevention as a universal principle. Regulatory measures, such as environmental regulations in AI-driven agriculture, enforce this value. Behaviorally, it ensures that AI systems prioritize user safety, such as in autonomous vehicles. Conceptually, Non-Maleficence ensures sustainability by addressing long-term risks and fostering resilience in the face of emerging challenges.</w:t>
      </w:r>
    </w:p>
    <w:p w14:paraId="57D319E6" w14:textId="77777777" w:rsidR="00CE409D" w:rsidRPr="00CE409D" w:rsidRDefault="00CE409D" w:rsidP="00CE409D">
      <w:r w:rsidRPr="00CE409D">
        <w:t>This systematic mapping bridges philosophical ideals with actionable governance, ensuring that the Core Values are not only aspirational but also effectively implemented across diverse contexts and sectors.</w:t>
      </w:r>
    </w:p>
    <w:p w14:paraId="589583FD" w14:textId="77777777" w:rsidR="00CE409D" w:rsidRPr="00CE409D" w:rsidRDefault="00CE409D" w:rsidP="00AF6DCF">
      <w:pPr>
        <w:pStyle w:val="Heading2"/>
      </w:pPr>
      <w:r w:rsidRPr="00CE409D">
        <w:t>Addressing Cultural and Regional Priorities</w:t>
      </w:r>
    </w:p>
    <w:p w14:paraId="7AF56F47" w14:textId="77777777" w:rsidR="00CE409D" w:rsidRPr="00CE409D" w:rsidRDefault="00CE409D" w:rsidP="00CE409D">
      <w:r w:rsidRPr="00CE409D">
        <w:t>The framework incorporates cultural and regional nuances by mapping values to specific contexts through the taxonomy of social, cultural, and personal values. For instance, Non-Maleficence in India may emphasize ecological stewardship in agricultural AI applications, reflecting the cultural importance of environmental harmony. In collectivist societies, Trust might prioritize communal decision-making, while in individualistic cultures, Accountability might highlight personal responsibility. These adaptations ensure the framework resonates with diverse cultural expectations and remains globally relevant.</w:t>
      </w:r>
    </w:p>
    <w:p w14:paraId="34BAE5FD" w14:textId="77777777" w:rsidR="00CE409D" w:rsidRPr="00CE409D" w:rsidRDefault="00CE409D" w:rsidP="005929C7">
      <w:pPr>
        <w:pStyle w:val="Heading2"/>
      </w:pPr>
      <w:r w:rsidRPr="00CE409D">
        <w:t>Metrics for the Core Values</w:t>
      </w:r>
    </w:p>
    <w:p w14:paraId="0115E3AB" w14:textId="77777777" w:rsidR="00CE409D" w:rsidRPr="00CE409D" w:rsidRDefault="00CE409D" w:rsidP="00CE409D">
      <w:r w:rsidRPr="00CE409D">
        <w:t>Robust metrics are essential for evaluating how effectively the Core Values of Trust, Fairness, Transparency, Accountability, and Non-Maleficence are operationalized across the NRBC framework. These metrics ensure that ethical principles are not only aspirational but also measurable and actionable.</w:t>
      </w:r>
    </w:p>
    <w:p w14:paraId="3FCBD8E9" w14:textId="77777777" w:rsidR="00CE409D" w:rsidRPr="00CE409D" w:rsidRDefault="00CE409D" w:rsidP="00CE409D">
      <w:r w:rsidRPr="00CE409D">
        <w:t xml:space="preserve">Fairness metrics, for instance, include demographic parity and bias detection audits to evaluate equitable outcomes in AI systems. In healthcare, fairness may be measured through the </w:t>
      </w:r>
      <w:r w:rsidRPr="00CE409D">
        <w:lastRenderedPageBreak/>
        <w:t>accessibility of diagnostic tools across diverse demographic groups. Transparency metrics assess the clarity and comprehensibility of AI decision-making processes. For example, explainability frameworks like SHAP (Shapley Additive Explanations) quantify how understandable AI-generated outputs are to end-users.</w:t>
      </w:r>
    </w:p>
    <w:p w14:paraId="0A4D288F" w14:textId="77777777" w:rsidR="00CE409D" w:rsidRPr="00CE409D" w:rsidRDefault="00CE409D" w:rsidP="00CE409D">
      <w:r w:rsidRPr="00CE409D">
        <w:t>Accountability metrics focus on traceability and responsibility, such as ensuring clear audit trails for AI decisions in critical sectors like finance and healthcare. Trust is evaluated through user satisfaction surveys and trust indices, which measure confidence in AI systems' reliability and ethical alignment. Non-Maleficence is assessed through harm reduction indicators and environmental sustainability audits, ensuring that AI systems prioritize safety and long-term resilience.</w:t>
      </w:r>
    </w:p>
    <w:p w14:paraId="4D19A095" w14:textId="77777777" w:rsidR="00CE409D" w:rsidRPr="00CE409D" w:rsidRDefault="00CE409D" w:rsidP="00CE409D">
      <w:r w:rsidRPr="00CE409D">
        <w:t>Simulations and use case validations complement these metrics by testing ethical principles in real-world scenarios. For instance, simulations might evaluate how AI systems prioritize resources during disaster response, while use case validations might assess the ethical implications of AI-driven hiring algorithms in reducing bias. These methodologies refine the metrics, ensuring that the Core Values remain relevant and actionable across diverse applications.</w:t>
      </w:r>
    </w:p>
    <w:p w14:paraId="6B325B87" w14:textId="77777777" w:rsidR="00CE409D" w:rsidRPr="00CE409D" w:rsidRDefault="00CE409D" w:rsidP="00513AD2">
      <w:pPr>
        <w:pStyle w:val="Heading2"/>
      </w:pPr>
      <w:r w:rsidRPr="00CE409D">
        <w:t>Validating Core Values through Scenario Testing</w:t>
      </w:r>
    </w:p>
    <w:p w14:paraId="05EE3D5D" w14:textId="77777777" w:rsidR="00CE409D" w:rsidRPr="00CE409D" w:rsidRDefault="00CE409D" w:rsidP="00CE409D">
      <w:r w:rsidRPr="00CE409D">
        <w:t>Scenario testing plays a critical role in validating the operationalization of the Core Values across the NRBC framework. By simulating real-world conditions, this methodology evaluates how effectively the values of Trust, Fairness, Transparency, Accountability, and Non-Maleficence function under diverse and often unpredictable circumstances.</w:t>
      </w:r>
    </w:p>
    <w:p w14:paraId="1FB4BAE1" w14:textId="77777777" w:rsidR="00CE409D" w:rsidRPr="00CE409D" w:rsidRDefault="00CE409D" w:rsidP="00CE409D">
      <w:r w:rsidRPr="00CE409D">
        <w:t>For example, a disaster response simulation might test how AI systems prioritize resources during an earthquake. Transparency ensures that the prioritization process is clear and accessible to stakeholders, while Accountability tracks decision-making pathways to identify responsibility for outcomes. Fairness ensures that resources are distributed equitably across affected populations, while Non-Maleficence minimizes harm by prioritizing life-saving interventions. Trust emerges as the outcome of these values working in concert, fostering confidence among stakeholders.</w:t>
      </w:r>
    </w:p>
    <w:p w14:paraId="73721603" w14:textId="77777777" w:rsidR="00CE409D" w:rsidRPr="00CE409D" w:rsidRDefault="00CE409D" w:rsidP="00CE409D">
      <w:r w:rsidRPr="00CE409D">
        <w:t>In healthcare, scenario testing might assess how diagnostic AI systems manage ambiguous patient data. Transparency ensures that patients understand the rationale behind diagnostic decisions, while Accountability guarantees that errors are traceable and rectified. Fairness evaluates whether the system delivers consistent outcomes across diverse demographic groups, and Non-Maleficence ensures patient safety throughout the diagnostic process. Trust is built through the system’s ability to explain its processes clearly and reliably.</w:t>
      </w:r>
    </w:p>
    <w:p w14:paraId="7AC36DD8" w14:textId="77777777" w:rsidR="00CE409D" w:rsidRPr="00CE409D" w:rsidRDefault="00CE409D" w:rsidP="00CE409D">
      <w:r w:rsidRPr="00CE409D">
        <w:t>These simulations generate measurable outcomes, such as user satisfaction, resource allocation efficiency, and harm reduction indicators. By analyzing these outcomes, the framework identifies areas for refinement, ensuring that the Core Values remain adaptable and effective across various domains and scenarios.</w:t>
      </w:r>
    </w:p>
    <w:p w14:paraId="3659E1F1" w14:textId="77777777" w:rsidR="00CE409D" w:rsidRDefault="00CE409D" w:rsidP="00001445">
      <w:pPr>
        <w:pStyle w:val="Heading2"/>
      </w:pPr>
      <w:r w:rsidRPr="00CE409D">
        <w:t>From Simulations to Refinement</w:t>
      </w:r>
    </w:p>
    <w:p w14:paraId="0AE93F29" w14:textId="77777777" w:rsidR="00397E96" w:rsidRPr="00397E96" w:rsidRDefault="00397E96" w:rsidP="00397E96">
      <w:r w:rsidRPr="00397E96">
        <w:t xml:space="preserve">The process of scenario testing and metric analysis forms the foundation for refining the NRBC framework. By moving from theoretical applications to real-world scenarios, this section </w:t>
      </w:r>
      <w:r w:rsidRPr="00397E96">
        <w:lastRenderedPageBreak/>
        <w:t>explores how iterative feedback and data synthesis enhance the operationalization of the Core Values. Each refinement ensures that the framework remains relevant and effective in diverse and evolving contexts.</w:t>
      </w:r>
    </w:p>
    <w:p w14:paraId="313DB8BD" w14:textId="77777777" w:rsidR="00CE409D" w:rsidRPr="002E37B0" w:rsidRDefault="00CE409D" w:rsidP="002E37B0">
      <w:pPr>
        <w:pStyle w:val="Heading3"/>
      </w:pPr>
      <w:r w:rsidRPr="002E37B0">
        <w:t>The Evolution of Trust in Technology</w:t>
      </w:r>
    </w:p>
    <w:p w14:paraId="19D9A2E3" w14:textId="77777777" w:rsidR="00B55DD3" w:rsidRDefault="00B55DD3" w:rsidP="00B55DD3">
      <w:r w:rsidRPr="00B55DD3">
        <w:t>Trust has emerged as the cornerstone of ethical AI systems, bridging user confidence with system reliability. In the evolution of technology, trust is no longer a passive expectation but an active outcome of consistent transparency, accountability, and fairness. Early technological advancements often relied on implicit trust, where users had little insight into how systems functioned. Modern AI systems, however, demand explicit mechanisms to earn and maintain trust, ensuring ethical alignment and operational transparency.</w:t>
      </w:r>
    </w:p>
    <w:p w14:paraId="1405010D" w14:textId="05F16C6F" w:rsidR="00CE409D" w:rsidRPr="00CE409D" w:rsidRDefault="00CE409D" w:rsidP="00427F1B">
      <w:pPr>
        <w:pStyle w:val="Heading3"/>
      </w:pPr>
      <w:r w:rsidRPr="00CE409D">
        <w:t>Trust: Anchoring the Core Values and Defining Its Role in AI</w:t>
      </w:r>
    </w:p>
    <w:p w14:paraId="1F060D51" w14:textId="77777777" w:rsidR="00CE409D" w:rsidRDefault="00CE409D" w:rsidP="00CE409D">
      <w:r w:rsidRPr="00CE409D">
        <w:t>As a Core Value, Trust anchors the NRBC framework by integrating and validating other ethical principles. Transparency fosters trust by making AI systems comprehensible to stakeholders, while Accountability ensures that these systems operate within clear ethical boundaries. Fairness and Non-Maleficence contribute to trust by ensuring equitable outcomes and prioritizing safety. Together, these values create a robust foundation for trust, aligning technological capabilities with societal expectations.</w:t>
      </w:r>
    </w:p>
    <w:p w14:paraId="6F08C742" w14:textId="77777777" w:rsidR="003630FE" w:rsidRDefault="003630FE" w:rsidP="003630FE">
      <w:pPr>
        <w:pStyle w:val="Heading3"/>
      </w:pPr>
      <w:r>
        <w:t>Insights from Data Trends and Clustering</w:t>
      </w:r>
    </w:p>
    <w:p w14:paraId="3ED1292F" w14:textId="77777777" w:rsidR="003630FE" w:rsidRDefault="003630FE" w:rsidP="003630FE">
      <w:r>
        <w:t>The process of refining the NRBC framework relies heavily on analyzing raw data trends and clustering outcomes to validate and operationalize the Core Values.</w:t>
      </w:r>
    </w:p>
    <w:p w14:paraId="3B3B569C" w14:textId="77777777" w:rsidR="003630FE" w:rsidRDefault="003630FE" w:rsidP="003630FE">
      <w:pPr>
        <w:pStyle w:val="ListParagraph"/>
        <w:numPr>
          <w:ilvl w:val="0"/>
          <w:numId w:val="10"/>
        </w:numPr>
      </w:pPr>
      <w:r>
        <w:t>Raw Data Trends: Recurring themes like bias reduction (Fairness), explainability (Transparency), and harm prevention (Non-Maleficence) were identified across stakeholder inputs and foundational documents. These trends emphasize the universal relevance of the Core Values while highlighting sector-specific nuances.</w:t>
      </w:r>
    </w:p>
    <w:p w14:paraId="6E767151" w14:textId="77777777" w:rsidR="003630FE" w:rsidRDefault="003630FE" w:rsidP="003630FE">
      <w:pPr>
        <w:pStyle w:val="ListParagraph"/>
        <w:numPr>
          <w:ilvl w:val="0"/>
          <w:numId w:val="10"/>
        </w:numPr>
      </w:pPr>
      <w:r>
        <w:t>Clustering Outcomes: Advanced tools like NLP and network mapping revealed strong interconnections between values, such as the dependency of Trust on Accountability and Transparency. Frequency analysis further validated these findings, with terms like equity and responsibility consistently appearing across diverse sectors.</w:t>
      </w:r>
    </w:p>
    <w:p w14:paraId="3A9E2051" w14:textId="50E617AD" w:rsidR="003630FE" w:rsidRPr="00CE409D" w:rsidRDefault="003630FE" w:rsidP="003630FE">
      <w:pPr>
        <w:pStyle w:val="ListParagraph"/>
        <w:numPr>
          <w:ilvl w:val="0"/>
          <w:numId w:val="10"/>
        </w:numPr>
      </w:pPr>
      <w:r>
        <w:t>Implications: These insights demonstrate how Core Values are both universally applicable and adaptable to specific contexts, ensuring their relevance across global and cultural dimensions.</w:t>
      </w:r>
    </w:p>
    <w:p w14:paraId="46399BBD" w14:textId="77777777" w:rsidR="00CE409D" w:rsidRPr="00CE409D" w:rsidRDefault="00CE409D" w:rsidP="00427F1B">
      <w:pPr>
        <w:pStyle w:val="Heading3"/>
      </w:pPr>
      <w:r w:rsidRPr="00CE409D">
        <w:t>Justifying Core Values</w:t>
      </w:r>
    </w:p>
    <w:p w14:paraId="2B188E28" w14:textId="77777777" w:rsidR="00CE409D" w:rsidRPr="00CE409D" w:rsidRDefault="00CE409D" w:rsidP="00CE409D">
      <w:r w:rsidRPr="00CE409D">
        <w:rPr>
          <w:b/>
          <w:bCs/>
        </w:rPr>
        <w:t>Trust:</w:t>
      </w:r>
      <w:r w:rsidRPr="00CE409D">
        <w:t xml:space="preserve"> Trust is justified as a Core Value due to its centrality in fostering user confidence and system reliability. It ensures that stakeholders, from policymakers to end-users, can engage with AI systems transparently and ethically. Without trust, even the most advanced systems risk rejection or misuse, undermining their potential societal benefits.</w:t>
      </w:r>
    </w:p>
    <w:p w14:paraId="68126EF8" w14:textId="77777777" w:rsidR="00CE409D" w:rsidRPr="00CE409D" w:rsidRDefault="00CE409D" w:rsidP="00CE409D">
      <w:r w:rsidRPr="00CE409D">
        <w:rPr>
          <w:b/>
          <w:bCs/>
        </w:rPr>
        <w:t>Fairness:</w:t>
      </w:r>
      <w:r w:rsidRPr="00CE409D">
        <w:t xml:space="preserve"> Fairness is critical for ensuring that AI systems do not perpetuate or exacerbate existing biases. It underpins justice and equity, enabling systems to deliver impartial and consistent </w:t>
      </w:r>
      <w:r w:rsidRPr="00CE409D">
        <w:lastRenderedPageBreak/>
        <w:t>outcomes. By addressing disparities in access and representation, fairness enhances societal acceptance of AI technologies.</w:t>
      </w:r>
    </w:p>
    <w:p w14:paraId="26380327" w14:textId="77777777" w:rsidR="00CE409D" w:rsidRPr="00CE409D" w:rsidRDefault="00CE409D" w:rsidP="00CE409D">
      <w:r w:rsidRPr="00CE409D">
        <w:rPr>
          <w:b/>
          <w:bCs/>
        </w:rPr>
        <w:t>Transparency:</w:t>
      </w:r>
      <w:r w:rsidRPr="00CE409D">
        <w:t xml:space="preserve"> Transparency provides the foundation for accountability and trust. It ensures that AI systems are not "black boxes" but are instead understandable to all stakeholders. Transparency empowers users by making decision-making processes clear, fostering confidence in AI-driven outcomes.</w:t>
      </w:r>
    </w:p>
    <w:p w14:paraId="4DDDA797" w14:textId="77777777" w:rsidR="00CE409D" w:rsidRPr="00CE409D" w:rsidRDefault="00CE409D" w:rsidP="00CE409D">
      <w:r w:rsidRPr="00CE409D">
        <w:rPr>
          <w:b/>
          <w:bCs/>
        </w:rPr>
        <w:t>Accountability:</w:t>
      </w:r>
      <w:r w:rsidRPr="00CE409D">
        <w:t xml:space="preserve"> Accountability holds AI systems and their creators responsible for decisions and outcomes. It ensures traceability and provides mechanisms for addressing errors or biases. By establishing clear pathways for responsibility, accountability strengthens trust and ethical compliance.</w:t>
      </w:r>
    </w:p>
    <w:p w14:paraId="4B731D14" w14:textId="77777777" w:rsidR="00CE409D" w:rsidRPr="00CE409D" w:rsidRDefault="00CE409D" w:rsidP="00CE409D">
      <w:r w:rsidRPr="00CE409D">
        <w:rPr>
          <w:b/>
          <w:bCs/>
        </w:rPr>
        <w:t>Non-Maleficence:</w:t>
      </w:r>
      <w:r w:rsidRPr="00CE409D">
        <w:t xml:space="preserve"> Non-Maleficence ensures that AI systems prioritize harm prevention and safety. It underpins long-term sustainability by addressing risks and aligning technological advancements with ethical imperatives. As a Core Value, it guarantees that AI serves the collective good without compromising individual or societal well-being.</w:t>
      </w:r>
    </w:p>
    <w:p w14:paraId="1A2F5E36" w14:textId="77777777" w:rsidR="00CE409D" w:rsidRPr="00CE409D" w:rsidRDefault="00CE409D" w:rsidP="00454CEC">
      <w:pPr>
        <w:pStyle w:val="Heading3"/>
      </w:pPr>
      <w:r w:rsidRPr="00CE409D">
        <w:t>Synthesize Outputs</w:t>
      </w:r>
    </w:p>
    <w:p w14:paraId="263DFE35" w14:textId="77777777" w:rsidR="00CE409D" w:rsidRPr="00CE409D" w:rsidRDefault="00CE409D" w:rsidP="00CE409D">
      <w:r w:rsidRPr="00CE409D">
        <w:t>The synthesis of outputs from scenario testing, metrics analysis, and stakeholder feedback refines the NRBC framework. By integrating measurable outcomes with qualitative insights, the framework evolves to address emerging challenges. This iterative process ensures that the Core Values remain relevant, actionable, and adaptable across diverse sectors and applications.</w:t>
      </w:r>
    </w:p>
    <w:p w14:paraId="09211827" w14:textId="40B7608E" w:rsidR="00020ABC" w:rsidRPr="00020ABC" w:rsidRDefault="00020ABC" w:rsidP="00020ABC">
      <w:pPr>
        <w:pStyle w:val="Heading2"/>
      </w:pPr>
      <w:r w:rsidRPr="00020ABC">
        <w:t xml:space="preserve"> Social and Cultural Values</w:t>
      </w:r>
    </w:p>
    <w:p w14:paraId="55A84092" w14:textId="77777777" w:rsidR="00020ABC" w:rsidRPr="00020ABC" w:rsidRDefault="00020ABC" w:rsidP="00020ABC">
      <w:r w:rsidRPr="00020ABC">
        <w:t>The second phase of the Integrated Framework for Taxonomy Evaluation explores the integration of social and cultural values into the NRBC framework. This phase emphasizes the importance of aligning ethical principles with the diverse societal norms and cultural priorities that shape global AI governance.</w:t>
      </w:r>
    </w:p>
    <w:p w14:paraId="32C207EB" w14:textId="77777777" w:rsidR="00020ABC" w:rsidRPr="00020ABC" w:rsidRDefault="00020ABC" w:rsidP="00020ABC">
      <w:r w:rsidRPr="00020ABC">
        <w:t>Social and cultural values validate and enrich the Core Values by contextualizing them within specific regions, traditions, and societal needs. For example, Trust might be expressed as communal collaboration in collectivist cultures, while in individualistic societies, Accountability could emphasize personal responsibility and transparency in governance. Fairness may prioritize equitable resource distribution in one context and impartiality in judicial decisions in another, demonstrating the adaptability of the Core Values.</w:t>
      </w:r>
    </w:p>
    <w:p w14:paraId="58B684E8" w14:textId="77777777" w:rsidR="00020ABC" w:rsidRPr="00020ABC" w:rsidRDefault="00020ABC" w:rsidP="00020ABC">
      <w:r w:rsidRPr="00020ABC">
        <w:t>The taxonomy of social and cultural values maps these regional priorities to the Core Values, ensuring relevance and resonance. This mapping process identifies shared values while respecting cultural differences, fostering a more inclusive and adaptable ethical framework. By bridging universal ethical principles with regional variations, the framework ensures that Trust, Fairness, Transparency, Accountability, and Non-Maleficence are both globally relevant and culturally sensitive.</w:t>
      </w:r>
    </w:p>
    <w:p w14:paraId="74636948" w14:textId="77777777" w:rsidR="00B27A28" w:rsidRPr="00B27A28" w:rsidRDefault="00B27A28" w:rsidP="00B27A28">
      <w:pPr>
        <w:pStyle w:val="Heading2"/>
      </w:pPr>
      <w:r w:rsidRPr="00B27A28">
        <w:lastRenderedPageBreak/>
        <w:t>Operationalization Across Sectors</w:t>
      </w:r>
    </w:p>
    <w:p w14:paraId="7C6C6960" w14:textId="77777777" w:rsidR="00793154" w:rsidRPr="00793154" w:rsidRDefault="00793154" w:rsidP="00793154">
      <w:r w:rsidRPr="00793154">
        <w:t>The NRBC framework validates the Core Values—</w:t>
      </w:r>
      <w:r w:rsidRPr="00793154">
        <w:rPr>
          <w:b/>
          <w:bCs/>
        </w:rPr>
        <w:t>Trust, Fairness, Transparency, Accountability, and Non-Maleficence</w:t>
      </w:r>
      <w:r w:rsidRPr="00793154">
        <w:t>—by testing their application across diverse domains such as healthcare, finance, and education. While the Core Values remain constant, their operationalization is tailored to address the unique challenges and priorities of each sector, demonstrating their adaptability and relevance.</w:t>
      </w:r>
    </w:p>
    <w:p w14:paraId="661394F7" w14:textId="77777777" w:rsidR="00793154" w:rsidRPr="00793154" w:rsidRDefault="00793154" w:rsidP="00793154">
      <w:r w:rsidRPr="00793154">
        <w:t>In healthcare, transparency ensures clear communication of diagnostic AI processes to patients, fostering trust while adhering to HIPAA standards. Accountability mechanisms provide traceability in AI-driven medical decisions, ensuring that errors are identifiable and correctable. Fairness promotes equitable access to diagnostic tools across diverse demographic groups, while Non-Maleficence prioritizes patient safety and ethical care delivery. Together, these Core Values ensure that healthcare AI systems align with both ethical and regulatory imperatives.</w:t>
      </w:r>
    </w:p>
    <w:p w14:paraId="1846A2C5" w14:textId="77777777" w:rsidR="00793154" w:rsidRPr="00793154" w:rsidRDefault="00793154" w:rsidP="00793154">
      <w:r w:rsidRPr="00793154">
        <w:t>In finance, transparency focuses on disclosing the methodologies behind credit scoring algorithms, supported by Sarbanes-Oxley compliance to ensure accuracy and accountability. Fairness mitigates biases in lending decisions, ensuring equitable treatment for all applicants. Trust is built through clear and explainable decision-making processes, which also enhance user confidence. Non-Maleficence safeguards consumers by ensuring that financial AI systems avoid practices that could cause harm or exacerbate inequities.</w:t>
      </w:r>
    </w:p>
    <w:p w14:paraId="68DF2DA4" w14:textId="77777777" w:rsidR="00793154" w:rsidRPr="00793154" w:rsidRDefault="00793154" w:rsidP="00793154">
      <w:r w:rsidRPr="00793154">
        <w:t>In education, fairness ensures that AI-driven tools provide equitable learning opportunities for students from diverse backgrounds. Transparency enables educators and students to understand how AI systems personalize learning paths, fostering trust and accountability. Non-Maleficence guides the ethical use of AI in educational environments, ensuring that technology supports rather than undermines pedagogical goals.</w:t>
      </w:r>
    </w:p>
    <w:p w14:paraId="54E6D0C2" w14:textId="77777777" w:rsidR="00793154" w:rsidRPr="00793154" w:rsidRDefault="00793154" w:rsidP="00793154">
      <w:r w:rsidRPr="00793154">
        <w:t>By adapting the expression of the Core Values to sector-specific contexts, the NRBC framework demonstrates its flexibility and validates its applicability across diverse domains without compromising the universality of its ethical principles.</w:t>
      </w:r>
    </w:p>
    <w:p w14:paraId="2ED9192E" w14:textId="7199FA2D" w:rsidR="00733574" w:rsidRPr="00733574" w:rsidRDefault="00733574" w:rsidP="00733574">
      <w:pPr>
        <w:pStyle w:val="Heading2"/>
      </w:pPr>
      <w:r w:rsidRPr="00733574">
        <w:t>Practical Application and Metrics</w:t>
      </w:r>
    </w:p>
    <w:p w14:paraId="3794C1B0" w14:textId="77777777" w:rsidR="00637EF8" w:rsidRPr="00637EF8" w:rsidRDefault="00637EF8" w:rsidP="00637EF8">
      <w:r w:rsidRPr="00637EF8">
        <w:t>The NRBC framework employs robust metrics to ensure the Core Values of Trust, Fairness, Transparency, Accountability, and Non-Maleficence are not only theoretical but actionable and measurable. These metrics refine fairness audits, transparency tools, and accountability mechanisms while validating ethical principles in real-world contexts.</w:t>
      </w:r>
    </w:p>
    <w:p w14:paraId="60D73D99" w14:textId="77777777" w:rsidR="00637EF8" w:rsidRPr="00637EF8" w:rsidRDefault="00637EF8" w:rsidP="006B3BCC">
      <w:pPr>
        <w:pStyle w:val="Heading3"/>
      </w:pPr>
      <w:r w:rsidRPr="00637EF8">
        <w:t>Simulations in Core Value Validation Using ChatGPT</w:t>
      </w:r>
    </w:p>
    <w:p w14:paraId="3C630D6B" w14:textId="77777777" w:rsidR="00637EF8" w:rsidRPr="00637EF8" w:rsidRDefault="00637EF8" w:rsidP="00637EF8">
      <w:r w:rsidRPr="00637EF8">
        <w:t>Simulations leverage ChatGPT’s generative capabilities to create controlled environments where specific scenarios can be tested. These environments explore how the Core Values are operationalized and measured in practice.</w:t>
      </w:r>
    </w:p>
    <w:p w14:paraId="3F069EDC" w14:textId="77777777" w:rsidR="00637EF8" w:rsidRPr="00637EF8" w:rsidRDefault="00637EF8" w:rsidP="00637EF8">
      <w:pPr>
        <w:numPr>
          <w:ilvl w:val="0"/>
          <w:numId w:val="8"/>
        </w:numPr>
      </w:pPr>
      <w:r w:rsidRPr="00637EF8">
        <w:rPr>
          <w:b/>
          <w:bCs/>
        </w:rPr>
        <w:t>Scenario Design:</w:t>
      </w:r>
    </w:p>
    <w:p w14:paraId="7C09215B" w14:textId="77777777" w:rsidR="00637EF8" w:rsidRPr="00637EF8" w:rsidRDefault="00637EF8" w:rsidP="00637EF8">
      <w:pPr>
        <w:numPr>
          <w:ilvl w:val="1"/>
          <w:numId w:val="8"/>
        </w:numPr>
      </w:pPr>
      <w:r w:rsidRPr="00637EF8">
        <w:t>A realistic use case is defined, such as evaluating an AI system's ability to allocate disaster relief resources or provide diagnostic recommendations in healthcare.</w:t>
      </w:r>
    </w:p>
    <w:p w14:paraId="05518C2F" w14:textId="77777777" w:rsidR="00637EF8" w:rsidRPr="00637EF8" w:rsidRDefault="00637EF8" w:rsidP="00637EF8">
      <w:pPr>
        <w:numPr>
          <w:ilvl w:val="1"/>
          <w:numId w:val="8"/>
        </w:numPr>
      </w:pPr>
      <w:r w:rsidRPr="00637EF8">
        <w:lastRenderedPageBreak/>
        <w:t>ChatGPT is configured to simulate the environment, including user interactions, decision-making pathways, and external conditions. This involves fine-tuning ChatGPT with domain-specific data and structured prompts that align with the Core Values, ensuring that the system prioritizes transparency, fairness, and accountability in its responses.</w:t>
      </w:r>
    </w:p>
    <w:p w14:paraId="247B9EBF" w14:textId="77777777" w:rsidR="00637EF8" w:rsidRPr="00637EF8" w:rsidRDefault="00637EF8" w:rsidP="00637EF8">
      <w:pPr>
        <w:numPr>
          <w:ilvl w:val="0"/>
          <w:numId w:val="8"/>
        </w:numPr>
      </w:pPr>
      <w:r w:rsidRPr="00637EF8">
        <w:rPr>
          <w:b/>
          <w:bCs/>
        </w:rPr>
        <w:t>Value-Specific Metrics:</w:t>
      </w:r>
    </w:p>
    <w:p w14:paraId="3585DDA7" w14:textId="77777777" w:rsidR="00637EF8" w:rsidRPr="00637EF8" w:rsidRDefault="00637EF8" w:rsidP="00637EF8">
      <w:pPr>
        <w:numPr>
          <w:ilvl w:val="1"/>
          <w:numId w:val="8"/>
        </w:numPr>
      </w:pPr>
      <w:r w:rsidRPr="00637EF8">
        <w:rPr>
          <w:b/>
          <w:bCs/>
        </w:rPr>
        <w:t>Trust</w:t>
      </w:r>
      <w:r w:rsidRPr="00637EF8">
        <w:t>: Evaluated by simulating stakeholder interactions and gauging confidence levels based on explainability and reliability of AI outputs.</w:t>
      </w:r>
    </w:p>
    <w:p w14:paraId="6B952875" w14:textId="77777777" w:rsidR="00637EF8" w:rsidRPr="00637EF8" w:rsidRDefault="00637EF8" w:rsidP="00637EF8">
      <w:pPr>
        <w:numPr>
          <w:ilvl w:val="1"/>
          <w:numId w:val="8"/>
        </w:numPr>
      </w:pPr>
      <w:r w:rsidRPr="00637EF8">
        <w:rPr>
          <w:b/>
          <w:bCs/>
        </w:rPr>
        <w:t>Fairness</w:t>
      </w:r>
      <w:r w:rsidRPr="00637EF8">
        <w:t>: Measured by analyzing resource distribution across demographic groups, ensuring equitable treatment.</w:t>
      </w:r>
    </w:p>
    <w:p w14:paraId="543DF3B5" w14:textId="77777777" w:rsidR="00637EF8" w:rsidRPr="00637EF8" w:rsidRDefault="00637EF8" w:rsidP="00637EF8">
      <w:pPr>
        <w:numPr>
          <w:ilvl w:val="1"/>
          <w:numId w:val="8"/>
        </w:numPr>
      </w:pPr>
      <w:r w:rsidRPr="00637EF8">
        <w:rPr>
          <w:b/>
          <w:bCs/>
        </w:rPr>
        <w:t>Transparency</w:t>
      </w:r>
      <w:r w:rsidRPr="00637EF8">
        <w:t>: Tested by generating detailed explanations for each decision or recommendation provided in the scenario.</w:t>
      </w:r>
    </w:p>
    <w:p w14:paraId="67BB5379" w14:textId="77777777" w:rsidR="00637EF8" w:rsidRPr="00637EF8" w:rsidRDefault="00637EF8" w:rsidP="00637EF8">
      <w:pPr>
        <w:numPr>
          <w:ilvl w:val="1"/>
          <w:numId w:val="8"/>
        </w:numPr>
      </w:pPr>
      <w:r w:rsidRPr="00637EF8">
        <w:rPr>
          <w:b/>
          <w:bCs/>
        </w:rPr>
        <w:t>Accountability</w:t>
      </w:r>
      <w:r w:rsidRPr="00637EF8">
        <w:t>: Assessed by creating audit trails that simulate responsibility for actions or errors.</w:t>
      </w:r>
    </w:p>
    <w:p w14:paraId="187E384E" w14:textId="77777777" w:rsidR="00637EF8" w:rsidRPr="00637EF8" w:rsidRDefault="00637EF8" w:rsidP="00637EF8">
      <w:pPr>
        <w:numPr>
          <w:ilvl w:val="1"/>
          <w:numId w:val="8"/>
        </w:numPr>
      </w:pPr>
      <w:r w:rsidRPr="00637EF8">
        <w:rPr>
          <w:b/>
          <w:bCs/>
        </w:rPr>
        <w:t>Non-Maleficence</w:t>
      </w:r>
      <w:r w:rsidRPr="00637EF8">
        <w:t>: Analyzed by reviewing potential risks and harm mitigation strategies.</w:t>
      </w:r>
    </w:p>
    <w:p w14:paraId="3D42B8AA" w14:textId="77777777" w:rsidR="00637EF8" w:rsidRPr="00637EF8" w:rsidRDefault="00637EF8" w:rsidP="00637EF8">
      <w:pPr>
        <w:numPr>
          <w:ilvl w:val="0"/>
          <w:numId w:val="8"/>
        </w:numPr>
      </w:pPr>
      <w:r w:rsidRPr="00637EF8">
        <w:rPr>
          <w:b/>
          <w:bCs/>
        </w:rPr>
        <w:t>Data Analysis and Statistical Validation:</w:t>
      </w:r>
    </w:p>
    <w:p w14:paraId="43B331AB" w14:textId="77777777" w:rsidR="00637EF8" w:rsidRPr="00637EF8" w:rsidRDefault="00637EF8" w:rsidP="00637EF8">
      <w:pPr>
        <w:numPr>
          <w:ilvl w:val="1"/>
          <w:numId w:val="8"/>
        </w:numPr>
      </w:pPr>
      <w:r w:rsidRPr="00637EF8">
        <w:rPr>
          <w:b/>
          <w:bCs/>
        </w:rPr>
        <w:t>Bias Analysis</w:t>
      </w:r>
      <w:r w:rsidRPr="00637EF8">
        <w:t>: Quantifies demographic disparities using metrics such as demographic parity or disparate impact ratios to ensure fairness across groups.</w:t>
      </w:r>
    </w:p>
    <w:p w14:paraId="4C8533C7" w14:textId="77777777" w:rsidR="00637EF8" w:rsidRPr="00637EF8" w:rsidRDefault="00637EF8" w:rsidP="00637EF8">
      <w:pPr>
        <w:numPr>
          <w:ilvl w:val="1"/>
          <w:numId w:val="8"/>
        </w:numPr>
      </w:pPr>
      <w:r w:rsidRPr="00637EF8">
        <w:rPr>
          <w:b/>
          <w:bCs/>
        </w:rPr>
        <w:t>Predictive Accuracy</w:t>
      </w:r>
      <w:r w:rsidRPr="00637EF8">
        <w:t>: Assesses the accuracy and reliability of AI system decisions through confusion matrices, precision, recall, and F1 scores.</w:t>
      </w:r>
    </w:p>
    <w:p w14:paraId="2D203E26" w14:textId="77777777" w:rsidR="00637EF8" w:rsidRPr="00637EF8" w:rsidRDefault="00637EF8" w:rsidP="00637EF8">
      <w:pPr>
        <w:numPr>
          <w:ilvl w:val="1"/>
          <w:numId w:val="8"/>
        </w:numPr>
      </w:pPr>
      <w:r w:rsidRPr="00637EF8">
        <w:rPr>
          <w:b/>
          <w:bCs/>
        </w:rPr>
        <w:t>Regression Models</w:t>
      </w:r>
      <w:r w:rsidRPr="00637EF8">
        <w:t>: Explores relationships between input variables (e.g., demographic data, resource priorities) and outcomes to evaluate adherence to fairness, transparency, and accountability standards.</w:t>
      </w:r>
    </w:p>
    <w:p w14:paraId="48FCFE03" w14:textId="77777777" w:rsidR="00637EF8" w:rsidRPr="00637EF8" w:rsidRDefault="00637EF8" w:rsidP="00637EF8">
      <w:pPr>
        <w:numPr>
          <w:ilvl w:val="1"/>
          <w:numId w:val="8"/>
        </w:numPr>
      </w:pPr>
      <w:r w:rsidRPr="00637EF8">
        <w:rPr>
          <w:b/>
          <w:bCs/>
        </w:rPr>
        <w:t>Satisfaction Surveys</w:t>
      </w:r>
      <w:r w:rsidRPr="00637EF8">
        <w:t>: Employs Likert-scale surveys to capture stakeholder trust and confidence, with statistical analysis (e.g., ANOVA) to identify significant variations across groups.</w:t>
      </w:r>
    </w:p>
    <w:p w14:paraId="2CA99A80" w14:textId="77777777" w:rsidR="00637EF8" w:rsidRPr="00637EF8" w:rsidRDefault="00637EF8" w:rsidP="00637EF8">
      <w:pPr>
        <w:numPr>
          <w:ilvl w:val="1"/>
          <w:numId w:val="8"/>
        </w:numPr>
      </w:pPr>
      <w:r w:rsidRPr="00637EF8">
        <w:rPr>
          <w:b/>
          <w:bCs/>
        </w:rPr>
        <w:t>Harm Reduction Indicators</w:t>
      </w:r>
      <w:r w:rsidRPr="00637EF8">
        <w:t>: Measures the effectiveness of non-maleficence strategies through safety scores or incident tracking, validated using paired t-tests to compare pre- and post-simulation results.</w:t>
      </w:r>
    </w:p>
    <w:p w14:paraId="0198D913" w14:textId="77777777" w:rsidR="00637EF8" w:rsidRPr="00637EF8" w:rsidRDefault="00637EF8" w:rsidP="00637EF8">
      <w:pPr>
        <w:numPr>
          <w:ilvl w:val="0"/>
          <w:numId w:val="8"/>
        </w:numPr>
      </w:pPr>
      <w:r w:rsidRPr="00637EF8">
        <w:rPr>
          <w:b/>
          <w:bCs/>
        </w:rPr>
        <w:t>Refinement and Iterative Feedback:</w:t>
      </w:r>
    </w:p>
    <w:p w14:paraId="5FCC66B2" w14:textId="77777777" w:rsidR="00637EF8" w:rsidRPr="00637EF8" w:rsidRDefault="00637EF8" w:rsidP="00637EF8">
      <w:pPr>
        <w:numPr>
          <w:ilvl w:val="1"/>
          <w:numId w:val="8"/>
        </w:numPr>
      </w:pPr>
      <w:r w:rsidRPr="00637EF8">
        <w:t>Outputs are analyzed to identify discrepancies or weaknesses in operationalizing the Core Values. For example, significant demographic disparities might lead to adjustments in fairness metrics.</w:t>
      </w:r>
    </w:p>
    <w:p w14:paraId="3F8CAEBB" w14:textId="77777777" w:rsidR="00637EF8" w:rsidRPr="00637EF8" w:rsidRDefault="00637EF8" w:rsidP="00637EF8">
      <w:pPr>
        <w:numPr>
          <w:ilvl w:val="1"/>
          <w:numId w:val="8"/>
        </w:numPr>
      </w:pPr>
      <w:r w:rsidRPr="00637EF8">
        <w:t>Statistical validation ensures that refinements are data-driven, enhancing the framework’s precision and reliability.</w:t>
      </w:r>
    </w:p>
    <w:p w14:paraId="131808BD" w14:textId="77777777" w:rsidR="00637EF8" w:rsidRPr="00637EF8" w:rsidRDefault="00637EF8" w:rsidP="00637EF8">
      <w:pPr>
        <w:rPr>
          <w:b/>
          <w:bCs/>
        </w:rPr>
      </w:pPr>
      <w:r w:rsidRPr="00637EF8">
        <w:rPr>
          <w:b/>
          <w:bCs/>
        </w:rPr>
        <w:lastRenderedPageBreak/>
        <w:t>Example: Disaster Response Simulation</w:t>
      </w:r>
    </w:p>
    <w:p w14:paraId="1C13F51B" w14:textId="77777777" w:rsidR="00637EF8" w:rsidRPr="00637EF8" w:rsidRDefault="00637EF8" w:rsidP="00637EF8">
      <w:r w:rsidRPr="00637EF8">
        <w:t>In a disaster response simulation, ChatGPT could simulate an earthquake scenario where an AI system allocates medical supplies to affected regions. Statistical validation might include:</w:t>
      </w:r>
    </w:p>
    <w:p w14:paraId="44AEDA5C" w14:textId="77777777" w:rsidR="00637EF8" w:rsidRPr="00637EF8" w:rsidRDefault="00637EF8" w:rsidP="00637EF8">
      <w:pPr>
        <w:numPr>
          <w:ilvl w:val="0"/>
          <w:numId w:val="9"/>
        </w:numPr>
      </w:pPr>
      <w:r w:rsidRPr="00637EF8">
        <w:rPr>
          <w:b/>
          <w:bCs/>
        </w:rPr>
        <w:t>Fairness Analysis</w:t>
      </w:r>
      <w:r w:rsidRPr="00637EF8">
        <w:t>: Ensuring equitable resource distribution across demographics using disparate impact ratio thresholds.</w:t>
      </w:r>
    </w:p>
    <w:p w14:paraId="02FBD531" w14:textId="77777777" w:rsidR="00637EF8" w:rsidRPr="00637EF8" w:rsidRDefault="00637EF8" w:rsidP="00637EF8">
      <w:pPr>
        <w:numPr>
          <w:ilvl w:val="0"/>
          <w:numId w:val="9"/>
        </w:numPr>
      </w:pPr>
      <w:r w:rsidRPr="00637EF8">
        <w:rPr>
          <w:b/>
          <w:bCs/>
        </w:rPr>
        <w:t>Transparency Metrics</w:t>
      </w:r>
      <w:r w:rsidRPr="00637EF8">
        <w:t>: Evaluating user comprehension of AI decision-making through post-simulation surveys.</w:t>
      </w:r>
    </w:p>
    <w:p w14:paraId="122E5D25" w14:textId="77777777" w:rsidR="00637EF8" w:rsidRPr="00637EF8" w:rsidRDefault="00637EF8" w:rsidP="00637EF8">
      <w:pPr>
        <w:numPr>
          <w:ilvl w:val="0"/>
          <w:numId w:val="9"/>
        </w:numPr>
      </w:pPr>
      <w:r w:rsidRPr="00637EF8">
        <w:rPr>
          <w:b/>
          <w:bCs/>
        </w:rPr>
        <w:t>Trust Metrics</w:t>
      </w:r>
      <w:r w:rsidRPr="00637EF8">
        <w:t>: Measuring stakeholder confidence using mean trust scores from survey responses, analyzed with t-tests to assess improvements over iterations.</w:t>
      </w:r>
    </w:p>
    <w:p w14:paraId="17B80B98" w14:textId="77777777" w:rsidR="00637EF8" w:rsidRDefault="00637EF8" w:rsidP="00637EF8">
      <w:r w:rsidRPr="00637EF8">
        <w:t>By generating measurable outcomes such as user satisfaction, resource allocation efficiency, and harm reduction indicators, these methodologies align governance mechanisms with ethical principles. Statistical validation ensures that results are robust, actionable, and applicable across diverse applications and domains.</w:t>
      </w:r>
    </w:p>
    <w:p w14:paraId="5910A6B9" w14:textId="77777777" w:rsidR="00107BA6" w:rsidRPr="00107BA6" w:rsidRDefault="00107BA6" w:rsidP="00107BA6">
      <w:pPr>
        <w:pStyle w:val="Heading2"/>
      </w:pPr>
      <w:r w:rsidRPr="00107BA6">
        <w:t>Conclusion</w:t>
      </w:r>
    </w:p>
    <w:p w14:paraId="58657A68" w14:textId="77777777" w:rsidR="00F01B4E" w:rsidRPr="00F01B4E" w:rsidRDefault="00F01B4E" w:rsidP="00F01B4E">
      <w:r w:rsidRPr="00F01B4E">
        <w:t>The Integrated Framework for Taxonomy Evaluation bridges philosophical principles and actionable strategies, ensuring ethical AI governance that is adaptable, measurable, and globally relevant. By embedding the Core Values—</w:t>
      </w:r>
      <w:r w:rsidRPr="00F01B4E">
        <w:rPr>
          <w:b/>
          <w:bCs/>
        </w:rPr>
        <w:t>Trust, Fairness, Transparency, Accountability, and Non-Maleficence</w:t>
      </w:r>
      <w:r w:rsidRPr="00F01B4E">
        <w:t>—across the NRBC framework, this approach operationalizes ethical principles systematically while addressing regional and sector-specific nuances.</w:t>
      </w:r>
    </w:p>
    <w:p w14:paraId="4815DDCB" w14:textId="77777777" w:rsidR="00F01B4E" w:rsidRPr="00F01B4E" w:rsidRDefault="00F01B4E" w:rsidP="00F01B4E">
      <w:r w:rsidRPr="00F01B4E">
        <w:t>Through scenario testing, robust metrics, and stakeholder engagement, the framework refines its processes to meet evolving societal and technological challenges. By tailoring its strategies to specific domains such as healthcare, finance, and education, the NRBC framework demonstrates its flexibility and relevance across diverse contexts. Simulations and use case validations ensure these values are not only theoretical but also practical, measurable, and actionable.</w:t>
      </w:r>
    </w:p>
    <w:p w14:paraId="09EA91D0" w14:textId="77777777" w:rsidR="00F01B4E" w:rsidRPr="00F01B4E" w:rsidRDefault="00F01B4E" w:rsidP="00F01B4E">
      <w:r w:rsidRPr="00F01B4E">
        <w:t>The application of ChatGPT within this framework further highlights its potential as a statistical reasoning system. By reducing labor-intensive processes and automating complex tasks like clustering and thematic analysis, ChatGPT shifts the focus from technical execution to strategic and ethical reasoning. Its ability to analyze patterns, generate measurable outputs, and refine insights based on feedback demonstrates the evolving role of AI in advancing ethical AI governance.</w:t>
      </w:r>
    </w:p>
    <w:p w14:paraId="06E87C9B" w14:textId="77777777" w:rsidR="00F01B4E" w:rsidRPr="00F01B4E" w:rsidRDefault="00F01B4E" w:rsidP="00F01B4E">
      <w:r w:rsidRPr="00F01B4E">
        <w:t xml:space="preserve">This approach not only validates ChatGPT as a tool for identifying and applying Core Values but also emphasizes its scalability and alignment with the principles of AI ethics. As a reasoning system, ChatGPT reflects the very Core Values it helps operationalize—building </w:t>
      </w:r>
      <w:r w:rsidRPr="00F01B4E">
        <w:rPr>
          <w:b/>
          <w:bCs/>
        </w:rPr>
        <w:t>Trust</w:t>
      </w:r>
      <w:r w:rsidRPr="00F01B4E">
        <w:t xml:space="preserve">, enabling </w:t>
      </w:r>
      <w:r w:rsidRPr="00F01B4E">
        <w:rPr>
          <w:b/>
          <w:bCs/>
        </w:rPr>
        <w:t>Transparency</w:t>
      </w:r>
      <w:r w:rsidRPr="00F01B4E">
        <w:t xml:space="preserve">, and fostering </w:t>
      </w:r>
      <w:r w:rsidRPr="00F01B4E">
        <w:rPr>
          <w:b/>
          <w:bCs/>
        </w:rPr>
        <w:t>Accountability</w:t>
      </w:r>
      <w:r w:rsidRPr="00F01B4E">
        <w:t xml:space="preserve"> in AI systems. These qualities make it an integral part of the evolving relationship between technology and ethics.</w:t>
      </w:r>
    </w:p>
    <w:p w14:paraId="200107F3" w14:textId="77777777" w:rsidR="00F01B4E" w:rsidRPr="00F01B4E" w:rsidRDefault="00F01B4E" w:rsidP="00F01B4E">
      <w:r w:rsidRPr="00F01B4E">
        <w:t xml:space="preserve">This framework offers decision-makers, policymakers, and academics a robust, scalable tool for ensuring ethical alignment in AI systems. Its emphasis on adaptability and cultural </w:t>
      </w:r>
      <w:r w:rsidRPr="00F01B4E">
        <w:lastRenderedPageBreak/>
        <w:t>sensitivity positions it as a foundational model for addressing both current and future challenges in AI governance. By aligning universal principles with practical applications, the Integrated Framework for Taxonomy Evaluation provides a clear path forward for ethical and effective AI.</w:t>
      </w:r>
    </w:p>
    <w:p w14:paraId="122C3036" w14:textId="79554C85" w:rsidR="00107BA6" w:rsidRPr="00107BA6" w:rsidRDefault="00107BA6" w:rsidP="00107BA6"/>
    <w:p w14:paraId="26DF0873" w14:textId="77777777" w:rsidR="00603E06" w:rsidRDefault="00603E06" w:rsidP="00637EF8"/>
    <w:p w14:paraId="661BE0B7" w14:textId="77777777" w:rsidR="00050EE3" w:rsidRPr="00637EF8" w:rsidRDefault="00050EE3" w:rsidP="00637EF8"/>
    <w:p w14:paraId="58861D89" w14:textId="5873C054" w:rsidR="00B27A28" w:rsidRPr="00B27A28" w:rsidRDefault="00B27A28" w:rsidP="00B27A28"/>
    <w:p w14:paraId="773D5C94" w14:textId="77777777" w:rsidR="00C822BE" w:rsidRPr="00CE409D" w:rsidRDefault="00C822BE" w:rsidP="00CE409D"/>
    <w:sectPr w:rsidR="00C822BE" w:rsidRPr="00CE40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690AD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FF0A97"/>
    <w:multiLevelType w:val="hybridMultilevel"/>
    <w:tmpl w:val="E7F8BE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7697EC3"/>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E80846"/>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3E92E5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550CA0"/>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7A59A7"/>
    <w:multiLevelType w:val="multilevel"/>
    <w:tmpl w:val="4CDC1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A084F12"/>
    <w:multiLevelType w:val="multilevel"/>
    <w:tmpl w:val="544EBB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24685D"/>
    <w:multiLevelType w:val="multilevel"/>
    <w:tmpl w:val="4C50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274BCC"/>
    <w:multiLevelType w:val="multilevel"/>
    <w:tmpl w:val="33FEF7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71081848">
    <w:abstractNumId w:val="5"/>
  </w:num>
  <w:num w:numId="2" w16cid:durableId="1655259233">
    <w:abstractNumId w:val="2"/>
  </w:num>
  <w:num w:numId="3" w16cid:durableId="1778716882">
    <w:abstractNumId w:val="4"/>
  </w:num>
  <w:num w:numId="4" w16cid:durableId="174807965">
    <w:abstractNumId w:val="3"/>
  </w:num>
  <w:num w:numId="5" w16cid:durableId="1768387727">
    <w:abstractNumId w:val="0"/>
  </w:num>
  <w:num w:numId="6" w16cid:durableId="777524241">
    <w:abstractNumId w:val="6"/>
  </w:num>
  <w:num w:numId="7" w16cid:durableId="1297488422">
    <w:abstractNumId w:val="7"/>
  </w:num>
  <w:num w:numId="8" w16cid:durableId="964044561">
    <w:abstractNumId w:val="9"/>
  </w:num>
  <w:num w:numId="9" w16cid:durableId="2089768526">
    <w:abstractNumId w:val="8"/>
  </w:num>
  <w:num w:numId="10" w16cid:durableId="1694499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8E2"/>
    <w:rsid w:val="00001445"/>
    <w:rsid w:val="00020ABC"/>
    <w:rsid w:val="00050EE3"/>
    <w:rsid w:val="000662EC"/>
    <w:rsid w:val="00094C50"/>
    <w:rsid w:val="000A0879"/>
    <w:rsid w:val="000D1191"/>
    <w:rsid w:val="00107BA6"/>
    <w:rsid w:val="00136C88"/>
    <w:rsid w:val="001547D7"/>
    <w:rsid w:val="001869C3"/>
    <w:rsid w:val="001B1F52"/>
    <w:rsid w:val="001B6C95"/>
    <w:rsid w:val="001C4283"/>
    <w:rsid w:val="001C7050"/>
    <w:rsid w:val="0021532B"/>
    <w:rsid w:val="002608C6"/>
    <w:rsid w:val="00275B23"/>
    <w:rsid w:val="002E37B0"/>
    <w:rsid w:val="003630FE"/>
    <w:rsid w:val="00397E96"/>
    <w:rsid w:val="003D7D65"/>
    <w:rsid w:val="003F557A"/>
    <w:rsid w:val="00427F1B"/>
    <w:rsid w:val="00454CEC"/>
    <w:rsid w:val="004712F6"/>
    <w:rsid w:val="004A2834"/>
    <w:rsid w:val="00513640"/>
    <w:rsid w:val="00513AD2"/>
    <w:rsid w:val="005233A2"/>
    <w:rsid w:val="005929C7"/>
    <w:rsid w:val="005A2488"/>
    <w:rsid w:val="005B6DC5"/>
    <w:rsid w:val="00603E06"/>
    <w:rsid w:val="006108DA"/>
    <w:rsid w:val="00637EF8"/>
    <w:rsid w:val="00687497"/>
    <w:rsid w:val="00687858"/>
    <w:rsid w:val="006B3BCC"/>
    <w:rsid w:val="006D7975"/>
    <w:rsid w:val="006E7B5C"/>
    <w:rsid w:val="0071594E"/>
    <w:rsid w:val="00733574"/>
    <w:rsid w:val="00793154"/>
    <w:rsid w:val="007F1949"/>
    <w:rsid w:val="007F74FF"/>
    <w:rsid w:val="00805017"/>
    <w:rsid w:val="008109A0"/>
    <w:rsid w:val="00827F55"/>
    <w:rsid w:val="00833634"/>
    <w:rsid w:val="008B48E2"/>
    <w:rsid w:val="008F727D"/>
    <w:rsid w:val="00912F7A"/>
    <w:rsid w:val="00942DEF"/>
    <w:rsid w:val="00945368"/>
    <w:rsid w:val="00965E7D"/>
    <w:rsid w:val="00A44714"/>
    <w:rsid w:val="00A476D5"/>
    <w:rsid w:val="00AA7044"/>
    <w:rsid w:val="00AE265A"/>
    <w:rsid w:val="00AF428C"/>
    <w:rsid w:val="00AF6DCF"/>
    <w:rsid w:val="00B26EDF"/>
    <w:rsid w:val="00B27A28"/>
    <w:rsid w:val="00B505AC"/>
    <w:rsid w:val="00B55DD3"/>
    <w:rsid w:val="00B64054"/>
    <w:rsid w:val="00BB2EAB"/>
    <w:rsid w:val="00BD4B79"/>
    <w:rsid w:val="00C822BE"/>
    <w:rsid w:val="00CE409D"/>
    <w:rsid w:val="00D16252"/>
    <w:rsid w:val="00DA1B6C"/>
    <w:rsid w:val="00DB6830"/>
    <w:rsid w:val="00E06CC5"/>
    <w:rsid w:val="00E1631E"/>
    <w:rsid w:val="00E406E8"/>
    <w:rsid w:val="00E9085E"/>
    <w:rsid w:val="00ED76E0"/>
    <w:rsid w:val="00F01B4E"/>
    <w:rsid w:val="00F73F69"/>
    <w:rsid w:val="00FE0395"/>
    <w:rsid w:val="00FF7A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76E48B"/>
  <w15:chartTrackingRefBased/>
  <w15:docId w15:val="{E352F00C-09F9-4324-BC9A-5211F0C5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4714"/>
    <w:pPr>
      <w:ind w:firstLine="720"/>
    </w:pPr>
  </w:style>
  <w:style w:type="paragraph" w:styleId="Heading1">
    <w:name w:val="heading 1"/>
    <w:basedOn w:val="Normal"/>
    <w:next w:val="Normal"/>
    <w:link w:val="Heading1Char"/>
    <w:uiPriority w:val="9"/>
    <w:qFormat/>
    <w:rsid w:val="006D7975"/>
    <w:pPr>
      <w:keepNext/>
      <w:keepLines/>
      <w:spacing w:before="360" w:after="80"/>
      <w:ind w:firstLine="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E0395"/>
    <w:pPr>
      <w:keepNext/>
      <w:keepLines/>
      <w:spacing w:before="160" w:after="80"/>
      <w:ind w:firstLine="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E37B0"/>
    <w:pPr>
      <w:keepNext/>
      <w:keepLines/>
      <w:spacing w:before="160" w:after="80"/>
      <w:ind w:firstLine="0"/>
      <w:outlineLvl w:val="2"/>
    </w:pPr>
    <w:rPr>
      <w:rFonts w:eastAsiaTheme="majorEastAsia" w:cstheme="majorBidi"/>
      <w:sz w:val="28"/>
      <w:szCs w:val="28"/>
    </w:rPr>
  </w:style>
  <w:style w:type="paragraph" w:styleId="Heading4">
    <w:name w:val="heading 4"/>
    <w:basedOn w:val="Normal"/>
    <w:next w:val="Normal"/>
    <w:link w:val="Heading4Char"/>
    <w:uiPriority w:val="9"/>
    <w:semiHidden/>
    <w:unhideWhenUsed/>
    <w:qFormat/>
    <w:rsid w:val="008B48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48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48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48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48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48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79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E03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E37B0"/>
    <w:rPr>
      <w:rFonts w:eastAsiaTheme="majorEastAsia" w:cstheme="majorBidi"/>
      <w:sz w:val="28"/>
      <w:szCs w:val="28"/>
    </w:rPr>
  </w:style>
  <w:style w:type="character" w:customStyle="1" w:styleId="Heading4Char">
    <w:name w:val="Heading 4 Char"/>
    <w:basedOn w:val="DefaultParagraphFont"/>
    <w:link w:val="Heading4"/>
    <w:uiPriority w:val="9"/>
    <w:semiHidden/>
    <w:rsid w:val="008B48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48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48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48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48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48E2"/>
    <w:rPr>
      <w:rFonts w:eastAsiaTheme="majorEastAsia" w:cstheme="majorBidi"/>
      <w:color w:val="272727" w:themeColor="text1" w:themeTint="D8"/>
    </w:rPr>
  </w:style>
  <w:style w:type="paragraph" w:styleId="Title">
    <w:name w:val="Title"/>
    <w:basedOn w:val="Normal"/>
    <w:next w:val="Normal"/>
    <w:link w:val="TitleChar"/>
    <w:uiPriority w:val="10"/>
    <w:qFormat/>
    <w:rsid w:val="008B48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8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48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48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48E2"/>
    <w:pPr>
      <w:spacing w:before="160"/>
      <w:jc w:val="center"/>
    </w:pPr>
    <w:rPr>
      <w:i/>
      <w:iCs/>
      <w:color w:val="404040" w:themeColor="text1" w:themeTint="BF"/>
    </w:rPr>
  </w:style>
  <w:style w:type="character" w:customStyle="1" w:styleId="QuoteChar">
    <w:name w:val="Quote Char"/>
    <w:basedOn w:val="DefaultParagraphFont"/>
    <w:link w:val="Quote"/>
    <w:uiPriority w:val="29"/>
    <w:rsid w:val="008B48E2"/>
    <w:rPr>
      <w:i/>
      <w:iCs/>
      <w:color w:val="404040" w:themeColor="text1" w:themeTint="BF"/>
    </w:rPr>
  </w:style>
  <w:style w:type="paragraph" w:styleId="ListParagraph">
    <w:name w:val="List Paragraph"/>
    <w:basedOn w:val="Normal"/>
    <w:uiPriority w:val="34"/>
    <w:qFormat/>
    <w:rsid w:val="008B48E2"/>
    <w:pPr>
      <w:ind w:left="720"/>
      <w:contextualSpacing/>
    </w:pPr>
  </w:style>
  <w:style w:type="character" w:styleId="IntenseEmphasis">
    <w:name w:val="Intense Emphasis"/>
    <w:basedOn w:val="DefaultParagraphFont"/>
    <w:uiPriority w:val="21"/>
    <w:qFormat/>
    <w:rsid w:val="008B48E2"/>
    <w:rPr>
      <w:i/>
      <w:iCs/>
      <w:color w:val="0F4761" w:themeColor="accent1" w:themeShade="BF"/>
    </w:rPr>
  </w:style>
  <w:style w:type="paragraph" w:styleId="IntenseQuote">
    <w:name w:val="Intense Quote"/>
    <w:basedOn w:val="Normal"/>
    <w:next w:val="Normal"/>
    <w:link w:val="IntenseQuoteChar"/>
    <w:uiPriority w:val="30"/>
    <w:qFormat/>
    <w:rsid w:val="008B48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48E2"/>
    <w:rPr>
      <w:i/>
      <w:iCs/>
      <w:color w:val="0F4761" w:themeColor="accent1" w:themeShade="BF"/>
    </w:rPr>
  </w:style>
  <w:style w:type="character" w:styleId="IntenseReference">
    <w:name w:val="Intense Reference"/>
    <w:basedOn w:val="DefaultParagraphFont"/>
    <w:uiPriority w:val="32"/>
    <w:qFormat/>
    <w:rsid w:val="008B48E2"/>
    <w:rPr>
      <w:b/>
      <w:bCs/>
      <w:smallCaps/>
      <w:color w:val="0F4761" w:themeColor="accent1" w:themeShade="BF"/>
      <w:spacing w:val="5"/>
    </w:rPr>
  </w:style>
  <w:style w:type="character" w:styleId="CommentReference">
    <w:name w:val="annotation reference"/>
    <w:basedOn w:val="DefaultParagraphFont"/>
    <w:uiPriority w:val="99"/>
    <w:semiHidden/>
    <w:unhideWhenUsed/>
    <w:rsid w:val="00B505AC"/>
    <w:rPr>
      <w:sz w:val="16"/>
      <w:szCs w:val="16"/>
    </w:rPr>
  </w:style>
  <w:style w:type="paragraph" w:styleId="CommentText">
    <w:name w:val="annotation text"/>
    <w:basedOn w:val="Normal"/>
    <w:link w:val="CommentTextChar"/>
    <w:uiPriority w:val="99"/>
    <w:unhideWhenUsed/>
    <w:rsid w:val="00B505AC"/>
    <w:pPr>
      <w:spacing w:line="240" w:lineRule="auto"/>
    </w:pPr>
    <w:rPr>
      <w:sz w:val="20"/>
      <w:szCs w:val="20"/>
    </w:rPr>
  </w:style>
  <w:style w:type="character" w:customStyle="1" w:styleId="CommentTextChar">
    <w:name w:val="Comment Text Char"/>
    <w:basedOn w:val="DefaultParagraphFont"/>
    <w:link w:val="CommentText"/>
    <w:uiPriority w:val="99"/>
    <w:rsid w:val="00B505AC"/>
    <w:rPr>
      <w:sz w:val="20"/>
      <w:szCs w:val="20"/>
    </w:rPr>
  </w:style>
  <w:style w:type="paragraph" w:styleId="CommentSubject">
    <w:name w:val="annotation subject"/>
    <w:basedOn w:val="CommentText"/>
    <w:next w:val="CommentText"/>
    <w:link w:val="CommentSubjectChar"/>
    <w:uiPriority w:val="99"/>
    <w:semiHidden/>
    <w:unhideWhenUsed/>
    <w:rsid w:val="00B505AC"/>
    <w:rPr>
      <w:b/>
      <w:bCs/>
    </w:rPr>
  </w:style>
  <w:style w:type="character" w:customStyle="1" w:styleId="CommentSubjectChar">
    <w:name w:val="Comment Subject Char"/>
    <w:basedOn w:val="CommentTextChar"/>
    <w:link w:val="CommentSubject"/>
    <w:uiPriority w:val="99"/>
    <w:semiHidden/>
    <w:rsid w:val="00B505AC"/>
    <w:rPr>
      <w:b/>
      <w:bCs/>
      <w:sz w:val="20"/>
      <w:szCs w:val="20"/>
    </w:rPr>
  </w:style>
  <w:style w:type="paragraph" w:styleId="NormalWeb">
    <w:name w:val="Normal (Web)"/>
    <w:basedOn w:val="Normal"/>
    <w:uiPriority w:val="99"/>
    <w:semiHidden/>
    <w:unhideWhenUsed/>
    <w:rsid w:val="008F727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7804">
      <w:bodyDiv w:val="1"/>
      <w:marLeft w:val="0"/>
      <w:marRight w:val="0"/>
      <w:marTop w:val="0"/>
      <w:marBottom w:val="0"/>
      <w:divBdr>
        <w:top w:val="none" w:sz="0" w:space="0" w:color="auto"/>
        <w:left w:val="none" w:sz="0" w:space="0" w:color="auto"/>
        <w:bottom w:val="none" w:sz="0" w:space="0" w:color="auto"/>
        <w:right w:val="none" w:sz="0" w:space="0" w:color="auto"/>
      </w:divBdr>
    </w:div>
    <w:div w:id="70547338">
      <w:bodyDiv w:val="1"/>
      <w:marLeft w:val="0"/>
      <w:marRight w:val="0"/>
      <w:marTop w:val="0"/>
      <w:marBottom w:val="0"/>
      <w:divBdr>
        <w:top w:val="none" w:sz="0" w:space="0" w:color="auto"/>
        <w:left w:val="none" w:sz="0" w:space="0" w:color="auto"/>
        <w:bottom w:val="none" w:sz="0" w:space="0" w:color="auto"/>
        <w:right w:val="none" w:sz="0" w:space="0" w:color="auto"/>
      </w:divBdr>
    </w:div>
    <w:div w:id="173426684">
      <w:bodyDiv w:val="1"/>
      <w:marLeft w:val="0"/>
      <w:marRight w:val="0"/>
      <w:marTop w:val="0"/>
      <w:marBottom w:val="0"/>
      <w:divBdr>
        <w:top w:val="none" w:sz="0" w:space="0" w:color="auto"/>
        <w:left w:val="none" w:sz="0" w:space="0" w:color="auto"/>
        <w:bottom w:val="none" w:sz="0" w:space="0" w:color="auto"/>
        <w:right w:val="none" w:sz="0" w:space="0" w:color="auto"/>
      </w:divBdr>
    </w:div>
    <w:div w:id="245699235">
      <w:bodyDiv w:val="1"/>
      <w:marLeft w:val="0"/>
      <w:marRight w:val="0"/>
      <w:marTop w:val="0"/>
      <w:marBottom w:val="0"/>
      <w:divBdr>
        <w:top w:val="none" w:sz="0" w:space="0" w:color="auto"/>
        <w:left w:val="none" w:sz="0" w:space="0" w:color="auto"/>
        <w:bottom w:val="none" w:sz="0" w:space="0" w:color="auto"/>
        <w:right w:val="none" w:sz="0" w:space="0" w:color="auto"/>
      </w:divBdr>
    </w:div>
    <w:div w:id="278490971">
      <w:bodyDiv w:val="1"/>
      <w:marLeft w:val="0"/>
      <w:marRight w:val="0"/>
      <w:marTop w:val="0"/>
      <w:marBottom w:val="0"/>
      <w:divBdr>
        <w:top w:val="none" w:sz="0" w:space="0" w:color="auto"/>
        <w:left w:val="none" w:sz="0" w:space="0" w:color="auto"/>
        <w:bottom w:val="none" w:sz="0" w:space="0" w:color="auto"/>
        <w:right w:val="none" w:sz="0" w:space="0" w:color="auto"/>
      </w:divBdr>
    </w:div>
    <w:div w:id="281502947">
      <w:bodyDiv w:val="1"/>
      <w:marLeft w:val="0"/>
      <w:marRight w:val="0"/>
      <w:marTop w:val="0"/>
      <w:marBottom w:val="0"/>
      <w:divBdr>
        <w:top w:val="none" w:sz="0" w:space="0" w:color="auto"/>
        <w:left w:val="none" w:sz="0" w:space="0" w:color="auto"/>
        <w:bottom w:val="none" w:sz="0" w:space="0" w:color="auto"/>
        <w:right w:val="none" w:sz="0" w:space="0" w:color="auto"/>
      </w:divBdr>
    </w:div>
    <w:div w:id="325478505">
      <w:bodyDiv w:val="1"/>
      <w:marLeft w:val="0"/>
      <w:marRight w:val="0"/>
      <w:marTop w:val="0"/>
      <w:marBottom w:val="0"/>
      <w:divBdr>
        <w:top w:val="none" w:sz="0" w:space="0" w:color="auto"/>
        <w:left w:val="none" w:sz="0" w:space="0" w:color="auto"/>
        <w:bottom w:val="none" w:sz="0" w:space="0" w:color="auto"/>
        <w:right w:val="none" w:sz="0" w:space="0" w:color="auto"/>
      </w:divBdr>
    </w:div>
    <w:div w:id="389889703">
      <w:bodyDiv w:val="1"/>
      <w:marLeft w:val="0"/>
      <w:marRight w:val="0"/>
      <w:marTop w:val="0"/>
      <w:marBottom w:val="0"/>
      <w:divBdr>
        <w:top w:val="none" w:sz="0" w:space="0" w:color="auto"/>
        <w:left w:val="none" w:sz="0" w:space="0" w:color="auto"/>
        <w:bottom w:val="none" w:sz="0" w:space="0" w:color="auto"/>
        <w:right w:val="none" w:sz="0" w:space="0" w:color="auto"/>
      </w:divBdr>
    </w:div>
    <w:div w:id="534003724">
      <w:bodyDiv w:val="1"/>
      <w:marLeft w:val="0"/>
      <w:marRight w:val="0"/>
      <w:marTop w:val="0"/>
      <w:marBottom w:val="0"/>
      <w:divBdr>
        <w:top w:val="none" w:sz="0" w:space="0" w:color="auto"/>
        <w:left w:val="none" w:sz="0" w:space="0" w:color="auto"/>
        <w:bottom w:val="none" w:sz="0" w:space="0" w:color="auto"/>
        <w:right w:val="none" w:sz="0" w:space="0" w:color="auto"/>
      </w:divBdr>
    </w:div>
    <w:div w:id="676422360">
      <w:bodyDiv w:val="1"/>
      <w:marLeft w:val="0"/>
      <w:marRight w:val="0"/>
      <w:marTop w:val="0"/>
      <w:marBottom w:val="0"/>
      <w:divBdr>
        <w:top w:val="none" w:sz="0" w:space="0" w:color="auto"/>
        <w:left w:val="none" w:sz="0" w:space="0" w:color="auto"/>
        <w:bottom w:val="none" w:sz="0" w:space="0" w:color="auto"/>
        <w:right w:val="none" w:sz="0" w:space="0" w:color="auto"/>
      </w:divBdr>
    </w:div>
    <w:div w:id="837310662">
      <w:bodyDiv w:val="1"/>
      <w:marLeft w:val="0"/>
      <w:marRight w:val="0"/>
      <w:marTop w:val="0"/>
      <w:marBottom w:val="0"/>
      <w:divBdr>
        <w:top w:val="none" w:sz="0" w:space="0" w:color="auto"/>
        <w:left w:val="none" w:sz="0" w:space="0" w:color="auto"/>
        <w:bottom w:val="none" w:sz="0" w:space="0" w:color="auto"/>
        <w:right w:val="none" w:sz="0" w:space="0" w:color="auto"/>
      </w:divBdr>
    </w:div>
    <w:div w:id="845247200">
      <w:bodyDiv w:val="1"/>
      <w:marLeft w:val="0"/>
      <w:marRight w:val="0"/>
      <w:marTop w:val="0"/>
      <w:marBottom w:val="0"/>
      <w:divBdr>
        <w:top w:val="none" w:sz="0" w:space="0" w:color="auto"/>
        <w:left w:val="none" w:sz="0" w:space="0" w:color="auto"/>
        <w:bottom w:val="none" w:sz="0" w:space="0" w:color="auto"/>
        <w:right w:val="none" w:sz="0" w:space="0" w:color="auto"/>
      </w:divBdr>
    </w:div>
    <w:div w:id="1059283126">
      <w:bodyDiv w:val="1"/>
      <w:marLeft w:val="0"/>
      <w:marRight w:val="0"/>
      <w:marTop w:val="0"/>
      <w:marBottom w:val="0"/>
      <w:divBdr>
        <w:top w:val="none" w:sz="0" w:space="0" w:color="auto"/>
        <w:left w:val="none" w:sz="0" w:space="0" w:color="auto"/>
        <w:bottom w:val="none" w:sz="0" w:space="0" w:color="auto"/>
        <w:right w:val="none" w:sz="0" w:space="0" w:color="auto"/>
      </w:divBdr>
    </w:div>
    <w:div w:id="1077047180">
      <w:bodyDiv w:val="1"/>
      <w:marLeft w:val="0"/>
      <w:marRight w:val="0"/>
      <w:marTop w:val="0"/>
      <w:marBottom w:val="0"/>
      <w:divBdr>
        <w:top w:val="none" w:sz="0" w:space="0" w:color="auto"/>
        <w:left w:val="none" w:sz="0" w:space="0" w:color="auto"/>
        <w:bottom w:val="none" w:sz="0" w:space="0" w:color="auto"/>
        <w:right w:val="none" w:sz="0" w:space="0" w:color="auto"/>
      </w:divBdr>
    </w:div>
    <w:div w:id="1386291053">
      <w:bodyDiv w:val="1"/>
      <w:marLeft w:val="0"/>
      <w:marRight w:val="0"/>
      <w:marTop w:val="0"/>
      <w:marBottom w:val="0"/>
      <w:divBdr>
        <w:top w:val="none" w:sz="0" w:space="0" w:color="auto"/>
        <w:left w:val="none" w:sz="0" w:space="0" w:color="auto"/>
        <w:bottom w:val="none" w:sz="0" w:space="0" w:color="auto"/>
        <w:right w:val="none" w:sz="0" w:space="0" w:color="auto"/>
      </w:divBdr>
    </w:div>
    <w:div w:id="1453590448">
      <w:bodyDiv w:val="1"/>
      <w:marLeft w:val="0"/>
      <w:marRight w:val="0"/>
      <w:marTop w:val="0"/>
      <w:marBottom w:val="0"/>
      <w:divBdr>
        <w:top w:val="none" w:sz="0" w:space="0" w:color="auto"/>
        <w:left w:val="none" w:sz="0" w:space="0" w:color="auto"/>
        <w:bottom w:val="none" w:sz="0" w:space="0" w:color="auto"/>
        <w:right w:val="none" w:sz="0" w:space="0" w:color="auto"/>
      </w:divBdr>
    </w:div>
    <w:div w:id="1490905936">
      <w:bodyDiv w:val="1"/>
      <w:marLeft w:val="0"/>
      <w:marRight w:val="0"/>
      <w:marTop w:val="0"/>
      <w:marBottom w:val="0"/>
      <w:divBdr>
        <w:top w:val="none" w:sz="0" w:space="0" w:color="auto"/>
        <w:left w:val="none" w:sz="0" w:space="0" w:color="auto"/>
        <w:bottom w:val="none" w:sz="0" w:space="0" w:color="auto"/>
        <w:right w:val="none" w:sz="0" w:space="0" w:color="auto"/>
      </w:divBdr>
    </w:div>
    <w:div w:id="1492868022">
      <w:bodyDiv w:val="1"/>
      <w:marLeft w:val="0"/>
      <w:marRight w:val="0"/>
      <w:marTop w:val="0"/>
      <w:marBottom w:val="0"/>
      <w:divBdr>
        <w:top w:val="none" w:sz="0" w:space="0" w:color="auto"/>
        <w:left w:val="none" w:sz="0" w:space="0" w:color="auto"/>
        <w:bottom w:val="none" w:sz="0" w:space="0" w:color="auto"/>
        <w:right w:val="none" w:sz="0" w:space="0" w:color="auto"/>
      </w:divBdr>
    </w:div>
    <w:div w:id="1619600708">
      <w:bodyDiv w:val="1"/>
      <w:marLeft w:val="0"/>
      <w:marRight w:val="0"/>
      <w:marTop w:val="0"/>
      <w:marBottom w:val="0"/>
      <w:divBdr>
        <w:top w:val="none" w:sz="0" w:space="0" w:color="auto"/>
        <w:left w:val="none" w:sz="0" w:space="0" w:color="auto"/>
        <w:bottom w:val="none" w:sz="0" w:space="0" w:color="auto"/>
        <w:right w:val="none" w:sz="0" w:space="0" w:color="auto"/>
      </w:divBdr>
    </w:div>
    <w:div w:id="1695619674">
      <w:bodyDiv w:val="1"/>
      <w:marLeft w:val="0"/>
      <w:marRight w:val="0"/>
      <w:marTop w:val="0"/>
      <w:marBottom w:val="0"/>
      <w:divBdr>
        <w:top w:val="none" w:sz="0" w:space="0" w:color="auto"/>
        <w:left w:val="none" w:sz="0" w:space="0" w:color="auto"/>
        <w:bottom w:val="none" w:sz="0" w:space="0" w:color="auto"/>
        <w:right w:val="none" w:sz="0" w:space="0" w:color="auto"/>
      </w:divBdr>
    </w:div>
    <w:div w:id="1757824445">
      <w:bodyDiv w:val="1"/>
      <w:marLeft w:val="0"/>
      <w:marRight w:val="0"/>
      <w:marTop w:val="0"/>
      <w:marBottom w:val="0"/>
      <w:divBdr>
        <w:top w:val="none" w:sz="0" w:space="0" w:color="auto"/>
        <w:left w:val="none" w:sz="0" w:space="0" w:color="auto"/>
        <w:bottom w:val="none" w:sz="0" w:space="0" w:color="auto"/>
        <w:right w:val="none" w:sz="0" w:space="0" w:color="auto"/>
      </w:divBdr>
    </w:div>
    <w:div w:id="1790665466">
      <w:bodyDiv w:val="1"/>
      <w:marLeft w:val="0"/>
      <w:marRight w:val="0"/>
      <w:marTop w:val="0"/>
      <w:marBottom w:val="0"/>
      <w:divBdr>
        <w:top w:val="none" w:sz="0" w:space="0" w:color="auto"/>
        <w:left w:val="none" w:sz="0" w:space="0" w:color="auto"/>
        <w:bottom w:val="none" w:sz="0" w:space="0" w:color="auto"/>
        <w:right w:val="none" w:sz="0" w:space="0" w:color="auto"/>
      </w:divBdr>
    </w:div>
    <w:div w:id="1840152139">
      <w:bodyDiv w:val="1"/>
      <w:marLeft w:val="0"/>
      <w:marRight w:val="0"/>
      <w:marTop w:val="0"/>
      <w:marBottom w:val="0"/>
      <w:divBdr>
        <w:top w:val="none" w:sz="0" w:space="0" w:color="auto"/>
        <w:left w:val="none" w:sz="0" w:space="0" w:color="auto"/>
        <w:bottom w:val="none" w:sz="0" w:space="0" w:color="auto"/>
        <w:right w:val="none" w:sz="0" w:space="0" w:color="auto"/>
      </w:divBdr>
    </w:div>
    <w:div w:id="1910461860">
      <w:bodyDiv w:val="1"/>
      <w:marLeft w:val="0"/>
      <w:marRight w:val="0"/>
      <w:marTop w:val="0"/>
      <w:marBottom w:val="0"/>
      <w:divBdr>
        <w:top w:val="none" w:sz="0" w:space="0" w:color="auto"/>
        <w:left w:val="none" w:sz="0" w:space="0" w:color="auto"/>
        <w:bottom w:val="none" w:sz="0" w:space="0" w:color="auto"/>
        <w:right w:val="none" w:sz="0" w:space="0" w:color="auto"/>
      </w:divBdr>
    </w:div>
    <w:div w:id="2008633082">
      <w:bodyDiv w:val="1"/>
      <w:marLeft w:val="0"/>
      <w:marRight w:val="0"/>
      <w:marTop w:val="0"/>
      <w:marBottom w:val="0"/>
      <w:divBdr>
        <w:top w:val="none" w:sz="0" w:space="0" w:color="auto"/>
        <w:left w:val="none" w:sz="0" w:space="0" w:color="auto"/>
        <w:bottom w:val="none" w:sz="0" w:space="0" w:color="auto"/>
        <w:right w:val="none" w:sz="0" w:space="0" w:color="auto"/>
      </w:divBdr>
    </w:div>
    <w:div w:id="2087147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3507</Words>
  <Characters>19990</Characters>
  <Application>Microsoft Office Word</Application>
  <DocSecurity>0</DocSecurity>
  <Lines>166</Lines>
  <Paragraphs>46</Paragraphs>
  <ScaleCrop>false</ScaleCrop>
  <Company/>
  <LinksUpToDate>false</LinksUpToDate>
  <CharactersWithSpaces>23451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 Hinrichs</dc:creator>
  <cp:keywords/>
  <dc:description/>
  <cp:lastModifiedBy>Ran Hinrichs</cp:lastModifiedBy>
  <cp:revision>73</cp:revision>
  <dcterms:created xsi:type="dcterms:W3CDTF">2024-12-31T02:39:00Z</dcterms:created>
  <dcterms:modified xsi:type="dcterms:W3CDTF">2024-12-31T07:48:00Z</dcterms:modified>
</cp:coreProperties>
</file>