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2B4A" w14:textId="235BD2E0" w:rsidR="00B258E6" w:rsidRPr="00B258E6" w:rsidRDefault="00B258E6" w:rsidP="00B258E6">
      <w:pPr>
        <w:spacing w:before="100" w:beforeAutospacing="1" w:after="100" w:afterAutospacing="1" w:line="240" w:lineRule="auto"/>
        <w:ind w:firstLine="0"/>
        <w:jc w:val="center"/>
        <w:rPr>
          <w:rFonts w:eastAsia="Times New Roman"/>
          <w:b/>
          <w:bCs/>
          <w:lang w:eastAsia="en-US"/>
          <w14:ligatures w14:val="none"/>
        </w:rPr>
      </w:pPr>
      <w:r w:rsidRPr="00B258E6">
        <w:rPr>
          <w:rFonts w:eastAsia="Times New Roman"/>
          <w:b/>
          <w:bCs/>
          <w:lang w:eastAsia="en-US"/>
          <w14:ligatures w14:val="none"/>
        </w:rPr>
        <w:t>Deriving the 12 Canonical Values of the AI Moral Code: A Stratified Semantic Framework (2006–2025)</w:t>
      </w:r>
    </w:p>
    <w:p w14:paraId="0DFA9FAF" w14:textId="4E5CB4AE" w:rsidR="00B258E6" w:rsidRPr="00B258E6" w:rsidRDefault="00B258E6" w:rsidP="00B258E6">
      <w:pPr>
        <w:pStyle w:val="NoSpacing"/>
        <w:jc w:val="center"/>
        <w:rPr>
          <w:lang w:eastAsia="en-US"/>
        </w:rPr>
      </w:pPr>
      <w:r w:rsidRPr="00B258E6">
        <w:rPr>
          <w:lang w:eastAsia="en-US"/>
        </w:rPr>
        <w:t>Ran</w:t>
      </w:r>
      <w:r>
        <w:rPr>
          <w:lang w:eastAsia="en-US"/>
        </w:rPr>
        <w:t>dy</w:t>
      </w:r>
      <w:r w:rsidRPr="00B258E6">
        <w:rPr>
          <w:lang w:eastAsia="en-US"/>
        </w:rPr>
        <w:t xml:space="preserve"> J. Hinrichs</w:t>
      </w:r>
      <w:r>
        <w:rPr>
          <w:lang w:eastAsia="en-US"/>
        </w:rPr>
        <w:t xml:space="preserve"> and Sharon Stoll</w:t>
      </w:r>
      <w:r w:rsidR="00C02347">
        <w:rPr>
          <w:lang w:eastAsia="en-US"/>
        </w:rPr>
        <w:t>, PhD.</w:t>
      </w:r>
    </w:p>
    <w:p w14:paraId="1C894A4A" w14:textId="70FDE580" w:rsidR="00B258E6" w:rsidRDefault="00B258E6" w:rsidP="00B258E6">
      <w:pPr>
        <w:pStyle w:val="Heading1"/>
        <w:rPr>
          <w:lang w:eastAsia="en-US"/>
        </w:rPr>
      </w:pPr>
      <w:r w:rsidRPr="00B258E6">
        <w:rPr>
          <w:lang w:eastAsia="en-US"/>
        </w:rPr>
        <w:t>Abstract</w:t>
      </w:r>
    </w:p>
    <w:p w14:paraId="62CCC255" w14:textId="13D86F26" w:rsidR="00B258E6" w:rsidRPr="00B258E6" w:rsidRDefault="00B258E6" w:rsidP="00B258E6">
      <w:pPr>
        <w:rPr>
          <w:rFonts w:eastAsia="Times New Roman"/>
          <w:lang w:eastAsia="en-US"/>
          <w14:ligatures w14:val="none"/>
        </w:rPr>
      </w:pPr>
      <w:r w:rsidRPr="00B258E6">
        <w:rPr>
          <w:lang w:eastAsia="en-US"/>
        </w:rPr>
        <w:t>This technical report outlines the empirical derivation of twelve canonical values</w:t>
      </w:r>
      <w:r w:rsidR="00B923CE">
        <w:rPr>
          <w:rStyle w:val="FootnoteReference"/>
          <w:lang w:eastAsia="en-US"/>
        </w:rPr>
        <w:footnoteReference w:id="1"/>
      </w:r>
      <w:r w:rsidRPr="00B258E6">
        <w:rPr>
          <w:lang w:eastAsia="en-US"/>
        </w:rPr>
        <w:t xml:space="preserve"> that serve as the core of the AI Moral Code. Building upon the broader architecture introduced in Hinrichs (2025), </w:t>
      </w:r>
      <w:r w:rsidRPr="00B258E6">
        <w:rPr>
          <w:i/>
          <w:iCs/>
          <w:lang w:eastAsia="en-US"/>
        </w:rPr>
        <w:t>Advancing Ethical AI: A Methodological and Empirical Approach to the AI Moral Code</w:t>
      </w:r>
      <w:r w:rsidRPr="00B258E6">
        <w:rPr>
          <w:lang w:eastAsia="en-US"/>
        </w:rPr>
        <w:t xml:space="preserve">, this paper provides a focused analysis of value emergence using a stratified semantic framework and composite scoring models. The methodology integrates frequency-weighted scoring, sectoral normalization, and contextual multipliers to isolate and weight the values most frequently and meaningfully cited across 291+ global AI ethics documents spanning from 2006 to 2025. This canonical set functions as the normative seed for value-aligned AI governance and supports continuous recalibration via a proposed </w:t>
      </w:r>
      <w:r w:rsidR="00CA3B56" w:rsidRPr="00CA3B56">
        <w:rPr>
          <w:lang w:eastAsia="en-US"/>
        </w:rPr>
        <w:t>Ethical Salience Tracker (EST)</w:t>
      </w:r>
      <w:r>
        <w:rPr>
          <w:rStyle w:val="FootnoteReference"/>
          <w:lang w:eastAsia="en-US"/>
        </w:rPr>
        <w:footnoteReference w:id="2"/>
      </w:r>
      <w:r w:rsidRPr="00B258E6">
        <w:rPr>
          <w:lang w:eastAsia="en-US"/>
        </w:rPr>
        <w:t>.</w:t>
      </w:r>
    </w:p>
    <w:p w14:paraId="0C893752" w14:textId="20929A44" w:rsidR="00B258E6" w:rsidRDefault="00B258E6" w:rsidP="00B258E6">
      <w:pPr>
        <w:pStyle w:val="Heading1"/>
        <w:rPr>
          <w:lang w:eastAsia="en-US"/>
        </w:rPr>
      </w:pPr>
      <w:r w:rsidRPr="00B258E6">
        <w:rPr>
          <w:lang w:eastAsia="en-US"/>
        </w:rPr>
        <w:t>Introduction</w:t>
      </w:r>
    </w:p>
    <w:p w14:paraId="24D30A17" w14:textId="3334EC6F" w:rsidR="00B258E6" w:rsidRPr="00B258E6" w:rsidRDefault="00000000" w:rsidP="00B258E6">
      <w:r>
        <w:rPr>
          <w:noProof/>
          <w:lang w:eastAsia="en-US"/>
        </w:rPr>
        <w:pict w14:anchorId="28985358">
          <v:shapetype id="_x0000_t202" coordsize="21600,21600" o:spt="202" path="m,l,21600r21600,l21600,xe">
            <v:stroke joinstyle="miter"/>
            <v:path gradientshapeok="t" o:connecttype="rect"/>
          </v:shapetype>
          <v:shape id="_x0000_s1036" type="#_x0000_t202" style="position:absolute;left:0;text-align:left;margin-left:341.45pt;margin-top:4.4pt;width:153pt;height:144.75pt;z-index:251658240;mso-position-horizontal-relative:text;mso-position-vertical-relative:text" fillcolor="#d8d8d8 [2732]" strokecolor="#7f7f7f [1612]">
            <v:textbox style="mso-next-textbox:#_x0000_s1036">
              <w:txbxContent>
                <w:p w14:paraId="0585326F" w14:textId="08C1C114" w:rsidR="00684B04" w:rsidRPr="00571A0A" w:rsidRDefault="00571A0A" w:rsidP="00571A0A">
                  <w:pPr>
                    <w:pStyle w:val="NoSpacing"/>
                    <w:spacing w:line="220" w:lineRule="exact"/>
                    <w:jc w:val="both"/>
                    <w:rPr>
                      <w:sz w:val="18"/>
                      <w:szCs w:val="18"/>
                    </w:rPr>
                  </w:pPr>
                  <w:r w:rsidRPr="00571A0A">
                    <w:rPr>
                      <w:sz w:val="18"/>
                      <w:szCs w:val="18"/>
                    </w:rPr>
                    <w:t>The term canonical refers to values that consistently emerge that consistently emerge across the AI ethics landscape between 2006 and 2025 with high frequency, sectoral breadth, and ethical relevance. In this framework, canonical values are not universal claims, but empirically grounded reference points for human-AI moral</w:t>
                  </w:r>
                  <w:r>
                    <w:rPr>
                      <w:sz w:val="18"/>
                      <w:szCs w:val="18"/>
                    </w:rPr>
                    <w:t xml:space="preserve"> </w:t>
                  </w:r>
                  <w:r w:rsidRPr="00571A0A">
                    <w:rPr>
                      <w:sz w:val="18"/>
                      <w:szCs w:val="18"/>
                    </w:rPr>
                    <w:t>partnership</w:t>
                  </w:r>
                  <w:r>
                    <w:rPr>
                      <w:sz w:val="18"/>
                      <w:szCs w:val="18"/>
                    </w:rPr>
                    <w:t xml:space="preserve">, </w:t>
                  </w:r>
                  <w:r w:rsidRPr="00571A0A">
                    <w:rPr>
                      <w:sz w:val="18"/>
                      <w:szCs w:val="18"/>
                    </w:rPr>
                    <w:t>subject to future refinement.</w:t>
                  </w:r>
                </w:p>
              </w:txbxContent>
            </v:textbox>
            <w10:wrap type="square"/>
          </v:shape>
        </w:pict>
      </w:r>
      <w:r w:rsidR="00B258E6" w:rsidRPr="00B258E6">
        <w:rPr>
          <w:lang w:eastAsia="en-US"/>
        </w:rPr>
        <w:t xml:space="preserve">The AI Moral Code project seeks to operationalize a universal yet adaptive ethical foundation for artificial intelligence. While the ICAD paper introduced the full NRBC framework—Normative, Regulatory, Behavioral, and Conceptual domains—this </w:t>
      </w:r>
      <w:r w:rsidR="00B258E6" w:rsidRPr="00B258E6">
        <w:rPr>
          <w:lang w:eastAsia="en-US"/>
        </w:rPr>
        <w:lastRenderedPageBreak/>
        <w:t>document focuses exclusively on the derivation of the canonical value set that anchors the Normative layer. Values are selected not on the basis of prescriptive tradition, but through an empirical analysis of value prevalence, conceptual relevance, and sectoral distribution.</w:t>
      </w:r>
      <w:r w:rsidR="00B258E6">
        <w:rPr>
          <w:lang w:eastAsia="en-US"/>
        </w:rPr>
        <w:t xml:space="preserve"> </w:t>
      </w:r>
      <w:r w:rsidR="00B258E6" w:rsidRPr="00B258E6">
        <w:t>Value prevalence refers to the measurable frequency and distribution of an ethical value across a defined corpus of documents, sectors, or temporal spans. In the context of AI ethics, it captures how often a particular value (e.g., fairness, accountability) appears—explicitly or through its cognates—within policy texts, principles, or technical guidelines. It serves as a proxy for that value’s normative visibility, stakeholder prioritization, and conceptual anchoring.</w:t>
      </w:r>
    </w:p>
    <w:p w14:paraId="644814D6" w14:textId="77AEDDA9" w:rsidR="00B258E6" w:rsidRPr="00B258E6" w:rsidRDefault="00B258E6" w:rsidP="00B258E6">
      <w:pPr>
        <w:rPr>
          <w:lang w:eastAsia="en-US"/>
        </w:rPr>
      </w:pPr>
      <w:r w:rsidRPr="00B258E6">
        <w:rPr>
          <w:lang w:eastAsia="en-US"/>
        </w:rPr>
        <w:t xml:space="preserve">In </w:t>
      </w:r>
      <w:r>
        <w:rPr>
          <w:lang w:eastAsia="en-US"/>
        </w:rPr>
        <w:t>this</w:t>
      </w:r>
      <w:r w:rsidRPr="00B258E6">
        <w:rPr>
          <w:lang w:eastAsia="en-US"/>
        </w:rPr>
        <w:t xml:space="preserve"> framework, value prevalence is computed through stratified term frequency (TF), adjusted by inverse document frequency (IDF) and sector weighting, forming the empirical foundation for inclusion in the canonical set.</w:t>
      </w:r>
    </w:p>
    <w:p w14:paraId="3C544D67" w14:textId="2BE81D00" w:rsidR="00B258E6" w:rsidRPr="00B258E6" w:rsidRDefault="00B258E6" w:rsidP="00B258E6">
      <w:pPr>
        <w:rPr>
          <w:lang w:eastAsia="en-US"/>
        </w:rPr>
      </w:pPr>
      <w:r w:rsidRPr="00B258E6">
        <w:rPr>
          <w:lang w:eastAsia="en-US"/>
        </w:rPr>
        <w:t xml:space="preserve">This </w:t>
      </w:r>
      <w:r w:rsidR="00EE2EFF">
        <w:rPr>
          <w:lang w:eastAsia="en-US"/>
        </w:rPr>
        <w:t>report</w:t>
      </w:r>
      <w:r w:rsidRPr="00B258E6">
        <w:rPr>
          <w:lang w:eastAsia="en-US"/>
        </w:rPr>
        <w:t xml:space="preserve"> assumes familiarity with the corpus construction, NRBC design logic, and simulation framework already published in Hinrichs (2025). Here, the focus narrows to the computational and semantic extraction of a durable, ethically grounded value core.</w:t>
      </w:r>
    </w:p>
    <w:p w14:paraId="092A4555" w14:textId="61F4DE80" w:rsidR="00B258E6" w:rsidRPr="00B258E6" w:rsidRDefault="00B258E6" w:rsidP="00EE2EFF">
      <w:pPr>
        <w:pStyle w:val="Heading1"/>
        <w:rPr>
          <w:lang w:eastAsia="en-US"/>
        </w:rPr>
      </w:pPr>
      <w:r w:rsidRPr="00B258E6">
        <w:rPr>
          <w:lang w:eastAsia="en-US"/>
        </w:rPr>
        <w:t>Methodological Overview</w:t>
      </w:r>
    </w:p>
    <w:p w14:paraId="3FEEC3AA" w14:textId="77777777" w:rsidR="00571A0A" w:rsidRDefault="00B258E6" w:rsidP="00571A0A">
      <w:pPr>
        <w:pStyle w:val="Heading2"/>
      </w:pPr>
      <w:r w:rsidRPr="00EE2EFF">
        <w:t>Corpus Construction</w:t>
      </w:r>
    </w:p>
    <w:p w14:paraId="498F0D4A" w14:textId="7891419E" w:rsidR="00EE2EFF" w:rsidRDefault="00C56AF4" w:rsidP="00EE2EFF">
      <w:r w:rsidRPr="00C56AF4">
        <w:rPr>
          <w:lang w:eastAsia="en-US"/>
        </w:rPr>
        <w:t>291+ AI ethics documents were collected and classified by sector (Government, Industry, Academia, NGO, Religious</w:t>
      </w:r>
      <w:r>
        <w:rPr>
          <w:lang w:eastAsia="en-US"/>
        </w:rPr>
        <w:t xml:space="preserve"> Organization</w:t>
      </w:r>
      <w:r w:rsidRPr="00C56AF4">
        <w:rPr>
          <w:lang w:eastAsia="en-US"/>
        </w:rPr>
        <w:t>) and semantically embedded using advanced NLP methods. Sentence-BERT and transformer-based models enabled sentence and paragraph-level vectorization. The curated corpus spans the most influential frameworks, including those by the European Commission</w:t>
      </w:r>
      <w:r>
        <w:rPr>
          <w:lang w:eastAsia="en-US"/>
        </w:rPr>
        <w:t xml:space="preserve"> </w:t>
      </w:r>
      <w:sdt>
        <w:sdtPr>
          <w:rPr>
            <w:lang w:eastAsia="en-US"/>
          </w:rPr>
          <w:id w:val="-413162779"/>
          <w:citation/>
        </w:sdtPr>
        <w:sdtContent>
          <w:r>
            <w:rPr>
              <w:lang w:eastAsia="en-US"/>
            </w:rPr>
            <w:fldChar w:fldCharType="begin"/>
          </w:r>
          <w:r>
            <w:rPr>
              <w:lang w:eastAsia="en-US"/>
            </w:rPr>
            <w:instrText xml:space="preserve"> CITATION Eur191 \l 1033 </w:instrText>
          </w:r>
          <w:r>
            <w:rPr>
              <w:lang w:eastAsia="en-US"/>
            </w:rPr>
            <w:fldChar w:fldCharType="separate"/>
          </w:r>
          <w:r>
            <w:rPr>
              <w:noProof/>
              <w:lang w:eastAsia="en-US"/>
            </w:rPr>
            <w:t>(European Commission, 2019)</w:t>
          </w:r>
          <w:r>
            <w:rPr>
              <w:lang w:eastAsia="en-US"/>
            </w:rPr>
            <w:fldChar w:fldCharType="end"/>
          </w:r>
        </w:sdtContent>
      </w:sdt>
      <w:r w:rsidRPr="00C56AF4">
        <w:rPr>
          <w:lang w:eastAsia="en-US"/>
        </w:rPr>
        <w:t>, Google</w:t>
      </w:r>
      <w:r>
        <w:rPr>
          <w:lang w:eastAsia="en-US"/>
        </w:rPr>
        <w:t xml:space="preserve"> </w:t>
      </w:r>
      <w:sdt>
        <w:sdtPr>
          <w:rPr>
            <w:lang w:eastAsia="en-US"/>
          </w:rPr>
          <w:id w:val="-842470699"/>
          <w:citation/>
        </w:sdtPr>
        <w:sdtContent>
          <w:r>
            <w:rPr>
              <w:lang w:eastAsia="en-US"/>
            </w:rPr>
            <w:fldChar w:fldCharType="begin"/>
          </w:r>
          <w:r>
            <w:rPr>
              <w:lang w:eastAsia="en-US"/>
            </w:rPr>
            <w:instrText xml:space="preserve"> CITATION Goo18 \l 1033  \m Goo21 \m Goo23 \m Pic18</w:instrText>
          </w:r>
          <w:r>
            <w:rPr>
              <w:lang w:eastAsia="en-US"/>
            </w:rPr>
            <w:fldChar w:fldCharType="separate"/>
          </w:r>
          <w:r>
            <w:rPr>
              <w:noProof/>
              <w:lang w:eastAsia="en-US"/>
            </w:rPr>
            <w:t xml:space="preserve">(Google, 2018; Google, 2021; </w:t>
          </w:r>
          <w:r>
            <w:rPr>
              <w:noProof/>
              <w:lang w:eastAsia="en-US"/>
            </w:rPr>
            <w:lastRenderedPageBreak/>
            <w:t>Google, 2023; Pichai, 2018)</w:t>
          </w:r>
          <w:r>
            <w:rPr>
              <w:lang w:eastAsia="en-US"/>
            </w:rPr>
            <w:fldChar w:fldCharType="end"/>
          </w:r>
        </w:sdtContent>
      </w:sdt>
      <w:r w:rsidRPr="00C56AF4">
        <w:rPr>
          <w:lang w:eastAsia="en-US"/>
        </w:rPr>
        <w:t>, Floridi et al.</w:t>
      </w:r>
      <w:sdt>
        <w:sdtPr>
          <w:rPr>
            <w:lang w:eastAsia="en-US"/>
          </w:rPr>
          <w:id w:val="1631523033"/>
          <w:citation/>
        </w:sdtPr>
        <w:sdtContent>
          <w:r>
            <w:rPr>
              <w:lang w:eastAsia="en-US"/>
            </w:rPr>
            <w:fldChar w:fldCharType="begin"/>
          </w:r>
          <w:r>
            <w:rPr>
              <w:lang w:eastAsia="en-US"/>
            </w:rPr>
            <w:instrText xml:space="preserve">CITATION Flo181 \n  \t  \l 1033 </w:instrText>
          </w:r>
          <w:r>
            <w:rPr>
              <w:lang w:eastAsia="en-US"/>
            </w:rPr>
            <w:fldChar w:fldCharType="separate"/>
          </w:r>
          <w:r>
            <w:rPr>
              <w:noProof/>
              <w:lang w:eastAsia="en-US"/>
            </w:rPr>
            <w:t xml:space="preserve"> (2018)</w:t>
          </w:r>
          <w:r>
            <w:rPr>
              <w:lang w:eastAsia="en-US"/>
            </w:rPr>
            <w:fldChar w:fldCharType="end"/>
          </w:r>
        </w:sdtContent>
      </w:sdt>
      <w:r w:rsidRPr="00C56AF4">
        <w:rPr>
          <w:lang w:eastAsia="en-US"/>
        </w:rPr>
        <w:t>, Access Now</w:t>
      </w:r>
      <w:sdt>
        <w:sdtPr>
          <w:rPr>
            <w:lang w:eastAsia="en-US"/>
          </w:rPr>
          <w:id w:val="-1683041011"/>
          <w:citation/>
        </w:sdtPr>
        <w:sdtContent>
          <w:r>
            <w:rPr>
              <w:lang w:eastAsia="en-US"/>
            </w:rPr>
            <w:fldChar w:fldCharType="begin"/>
          </w:r>
          <w:r>
            <w:rPr>
              <w:lang w:eastAsia="en-US"/>
            </w:rPr>
            <w:instrText xml:space="preserve">CITATION Acc18 \n  \t  \l 1033 </w:instrText>
          </w:r>
          <w:r>
            <w:rPr>
              <w:lang w:eastAsia="en-US"/>
            </w:rPr>
            <w:fldChar w:fldCharType="separate"/>
          </w:r>
          <w:r>
            <w:rPr>
              <w:noProof/>
              <w:lang w:eastAsia="en-US"/>
            </w:rPr>
            <w:t xml:space="preserve"> (2018)</w:t>
          </w:r>
          <w:r>
            <w:rPr>
              <w:lang w:eastAsia="en-US"/>
            </w:rPr>
            <w:fldChar w:fldCharType="end"/>
          </w:r>
        </w:sdtContent>
      </w:sdt>
      <w:r w:rsidRPr="00C56AF4">
        <w:rPr>
          <w:lang w:eastAsia="en-US"/>
        </w:rPr>
        <w:t>, and the Pontifical Academy for Life</w:t>
      </w:r>
      <w:sdt>
        <w:sdtPr>
          <w:rPr>
            <w:lang w:eastAsia="en-US"/>
          </w:rPr>
          <w:id w:val="1042478951"/>
          <w:citation/>
        </w:sdtPr>
        <w:sdtContent>
          <w:r>
            <w:rPr>
              <w:lang w:eastAsia="en-US"/>
            </w:rPr>
            <w:fldChar w:fldCharType="begin"/>
          </w:r>
          <w:r>
            <w:rPr>
              <w:lang w:eastAsia="en-US"/>
            </w:rPr>
            <w:instrText xml:space="preserve"> CITATION Pon20 \l 1033 </w:instrText>
          </w:r>
          <w:r>
            <w:rPr>
              <w:lang w:eastAsia="en-US"/>
            </w:rPr>
            <w:fldChar w:fldCharType="separate"/>
          </w:r>
          <w:r>
            <w:rPr>
              <w:noProof/>
              <w:lang w:eastAsia="en-US"/>
            </w:rPr>
            <w:t xml:space="preserve"> (Pontifical Academy for Life, 2020)</w:t>
          </w:r>
          <w:r>
            <w:rPr>
              <w:lang w:eastAsia="en-US"/>
            </w:rPr>
            <w:fldChar w:fldCharType="end"/>
          </w:r>
        </w:sdtContent>
      </w:sdt>
      <w:r w:rsidRPr="00C56AF4">
        <w:rPr>
          <w:lang w:eastAsia="en-US"/>
        </w:rPr>
        <w:t>.</w:t>
      </w:r>
      <w:r w:rsidR="00EE2EFF" w:rsidRPr="00EE2EFF">
        <w:t xml:space="preserve"> </w:t>
      </w:r>
    </w:p>
    <w:p w14:paraId="008DAF33" w14:textId="6893B2BD" w:rsidR="00C56AF4" w:rsidRDefault="00C56AF4" w:rsidP="00EE2EFF">
      <w:r w:rsidRPr="00C56AF4">
        <w:t>Each document was evaluated not only for linguistic content but for normative clarity, sector-specific expectations, and ethical transparency. This approach embeds our canonical values—such as dignity, fairness, accountability, and trust—into the evaluative logic. For example, documents lacking operational accountability clauses (e.g., audit trails, revision protocols) scored lower in simulation resilience, reflecting the conditional role of accountability.</w:t>
      </w:r>
    </w:p>
    <w:p w14:paraId="13D1D3F3" w14:textId="77777777" w:rsidR="00EE2EFF" w:rsidRPr="00EE2EFF" w:rsidRDefault="00EE2EFF" w:rsidP="00CA3B56">
      <w:pPr>
        <w:pStyle w:val="Heading1"/>
      </w:pPr>
      <w:r w:rsidRPr="00EE2EFF">
        <w:t>Key Cross-Sectoral Expectations in AI Ethics &amp; Data Analytics Culture</w:t>
      </w:r>
    </w:p>
    <w:p w14:paraId="13C8F339" w14:textId="77777777" w:rsidR="00C56AF4" w:rsidRDefault="00C56AF4" w:rsidP="00C56AF4">
      <w:pPr>
        <w:rPr>
          <w:lang w:eastAsia="en-US"/>
        </w:rPr>
      </w:pPr>
      <w:r>
        <w:rPr>
          <w:lang w:eastAsia="en-US"/>
        </w:rPr>
        <w:t>Across all five sectors, minimum ethical maturity required:</w:t>
      </w:r>
    </w:p>
    <w:p w14:paraId="266935D1" w14:textId="36CF6613" w:rsidR="00C56AF4" w:rsidRDefault="00C56AF4" w:rsidP="00C56AF4">
      <w:pPr>
        <w:pStyle w:val="ListParagraph"/>
        <w:numPr>
          <w:ilvl w:val="0"/>
          <w:numId w:val="85"/>
        </w:numPr>
        <w:rPr>
          <w:lang w:eastAsia="en-US"/>
        </w:rPr>
      </w:pPr>
      <w:r w:rsidRPr="00C56AF4">
        <w:rPr>
          <w:b/>
          <w:bCs/>
          <w:lang w:eastAsia="en-US"/>
        </w:rPr>
        <w:t>Defined Value Sets</w:t>
      </w:r>
      <w:r>
        <w:rPr>
          <w:lang w:eastAsia="en-US"/>
        </w:rPr>
        <w:t>: Ethical frameworks must explicitly name guiding values (e.g., fairness, justice). Our NLP model assessed prominence, frequency, and context, ensuring principled—not merely popular—value inclusion.</w:t>
      </w:r>
    </w:p>
    <w:p w14:paraId="6348C6F1" w14:textId="1FF984AF" w:rsidR="00C56AF4" w:rsidRDefault="00C56AF4" w:rsidP="00C56AF4">
      <w:pPr>
        <w:pStyle w:val="ListParagraph"/>
        <w:numPr>
          <w:ilvl w:val="0"/>
          <w:numId w:val="85"/>
        </w:numPr>
        <w:rPr>
          <w:lang w:eastAsia="en-US"/>
        </w:rPr>
      </w:pPr>
      <w:r w:rsidRPr="00C56AF4">
        <w:rPr>
          <w:b/>
          <w:bCs/>
          <w:lang w:eastAsia="en-US"/>
        </w:rPr>
        <w:t>Instrumental Structures</w:t>
      </w:r>
      <w:r>
        <w:rPr>
          <w:lang w:eastAsia="en-US"/>
        </w:rPr>
        <w:t>: Auditability, explainability, and oversight are measured as enablers of trust, responsibility, and privacy. We do not treat these as standalone values but as functional indicators.</w:t>
      </w:r>
    </w:p>
    <w:p w14:paraId="2A25D063" w14:textId="461C0029" w:rsidR="00C56AF4" w:rsidRDefault="00C56AF4" w:rsidP="00C56AF4">
      <w:pPr>
        <w:pStyle w:val="ListParagraph"/>
        <w:numPr>
          <w:ilvl w:val="0"/>
          <w:numId w:val="85"/>
        </w:numPr>
        <w:rPr>
          <w:lang w:eastAsia="en-US"/>
        </w:rPr>
      </w:pPr>
      <w:r w:rsidRPr="00C56AF4">
        <w:rPr>
          <w:b/>
          <w:bCs/>
          <w:lang w:eastAsia="en-US"/>
        </w:rPr>
        <w:t>Dual-Role Values</w:t>
      </w:r>
      <w:r>
        <w:rPr>
          <w:lang w:eastAsia="en-US"/>
        </w:rPr>
        <w:t>: Innovation and sustainability were included only after showing consistent ethical significance, not just rhetorical repetition. This reflects our own standard of fairness in inclusion criteria.</w:t>
      </w:r>
    </w:p>
    <w:p w14:paraId="07B83A1D" w14:textId="77777777" w:rsidR="00C56AF4" w:rsidRDefault="00C56AF4" w:rsidP="00C56AF4">
      <w:pPr>
        <w:pStyle w:val="ListParagraph"/>
        <w:numPr>
          <w:ilvl w:val="0"/>
          <w:numId w:val="85"/>
        </w:numPr>
        <w:rPr>
          <w:lang w:eastAsia="en-US"/>
        </w:rPr>
      </w:pPr>
      <w:r w:rsidRPr="00C56AF4">
        <w:rPr>
          <w:b/>
          <w:bCs/>
          <w:lang w:eastAsia="en-US"/>
        </w:rPr>
        <w:t>Contextual Relevance</w:t>
      </w:r>
      <w:r>
        <w:rPr>
          <w:lang w:eastAsia="en-US"/>
        </w:rPr>
        <w:t>: Conditional values like privacy and autonomy were weighted based on relevance in sector-specific use cases. For instance, surveillance AI invoked higher thresholds for privacy and proportionality.</w:t>
      </w:r>
    </w:p>
    <w:p w14:paraId="419A1D56" w14:textId="77777777" w:rsidR="00C56AF4" w:rsidRDefault="00C56AF4" w:rsidP="00C56AF4">
      <w:pPr>
        <w:rPr>
          <w:lang w:eastAsia="en-US"/>
        </w:rPr>
      </w:pPr>
    </w:p>
    <w:p w14:paraId="32C19B37" w14:textId="02D2C6B8" w:rsidR="00C56AF4" w:rsidRDefault="00C56AF4" w:rsidP="002233EC">
      <w:pPr>
        <w:pStyle w:val="ListParagraph"/>
        <w:numPr>
          <w:ilvl w:val="0"/>
          <w:numId w:val="85"/>
        </w:numPr>
        <w:rPr>
          <w:lang w:eastAsia="en-US"/>
        </w:rPr>
      </w:pPr>
      <w:r w:rsidRPr="00C56AF4">
        <w:rPr>
          <w:b/>
          <w:bCs/>
          <w:lang w:eastAsia="en-US"/>
        </w:rPr>
        <w:lastRenderedPageBreak/>
        <w:t>Accountability Clauses</w:t>
      </w:r>
      <w:r>
        <w:rPr>
          <w:lang w:eastAsia="en-US"/>
        </w:rPr>
        <w:t>: Only documents with explicit role assignments, update trails, and governance protocols met our traceability standard. This embeds our trust and responsibility values into evaluation, modeling “eating our own dogfood.”</w:t>
      </w:r>
    </w:p>
    <w:p w14:paraId="7F7271D3" w14:textId="18A41DE4" w:rsidR="00C56AF4" w:rsidRDefault="00C56AF4" w:rsidP="00267226">
      <w:pPr>
        <w:pStyle w:val="ListParagraph"/>
        <w:numPr>
          <w:ilvl w:val="0"/>
          <w:numId w:val="85"/>
        </w:numPr>
        <w:rPr>
          <w:lang w:eastAsia="en-US"/>
        </w:rPr>
      </w:pPr>
      <w:r w:rsidRPr="002233EC">
        <w:rPr>
          <w:b/>
          <w:bCs/>
          <w:lang w:eastAsia="en-US"/>
        </w:rPr>
        <w:t>Human Rights Integration</w:t>
      </w:r>
      <w:r>
        <w:rPr>
          <w:lang w:eastAsia="en-US"/>
        </w:rPr>
        <w:t>: Privacy, agency, and non-discrimination were checked for alignment with UDHR</w:t>
      </w:r>
      <w:sdt>
        <w:sdtPr>
          <w:rPr>
            <w:lang w:eastAsia="en-US"/>
          </w:rPr>
          <w:id w:val="1663886436"/>
          <w:citation/>
        </w:sdtPr>
        <w:sdtContent>
          <w:r w:rsidR="002233EC">
            <w:rPr>
              <w:lang w:eastAsia="en-US"/>
            </w:rPr>
            <w:fldChar w:fldCharType="begin"/>
          </w:r>
          <w:r w:rsidR="002233EC">
            <w:rPr>
              <w:lang w:eastAsia="en-US"/>
            </w:rPr>
            <w:instrText xml:space="preserve"> CITATION Uni48 \l 1033 </w:instrText>
          </w:r>
          <w:r w:rsidR="002233EC">
            <w:rPr>
              <w:lang w:eastAsia="en-US"/>
            </w:rPr>
            <w:fldChar w:fldCharType="separate"/>
          </w:r>
          <w:r w:rsidR="002233EC">
            <w:rPr>
              <w:noProof/>
              <w:lang w:eastAsia="en-US"/>
            </w:rPr>
            <w:t xml:space="preserve"> (United Nations, 1948)</w:t>
          </w:r>
          <w:r w:rsidR="002233EC">
            <w:rPr>
              <w:lang w:eastAsia="en-US"/>
            </w:rPr>
            <w:fldChar w:fldCharType="end"/>
          </w:r>
        </w:sdtContent>
      </w:sdt>
      <w:r>
        <w:rPr>
          <w:lang w:eastAsia="en-US"/>
        </w:rPr>
        <w:t xml:space="preserve"> and GDPR </w:t>
      </w:r>
      <w:sdt>
        <w:sdtPr>
          <w:rPr>
            <w:lang w:eastAsia="en-US"/>
          </w:rPr>
          <w:id w:val="333421980"/>
          <w:citation/>
        </w:sdtPr>
        <w:sdtContent>
          <w:r w:rsidR="002233EC">
            <w:rPr>
              <w:lang w:eastAsia="en-US"/>
            </w:rPr>
            <w:fldChar w:fldCharType="begin"/>
          </w:r>
          <w:r w:rsidR="002233EC">
            <w:rPr>
              <w:lang w:eastAsia="en-US"/>
            </w:rPr>
            <w:instrText xml:space="preserve"> CITATION Eur16 \l 1033 </w:instrText>
          </w:r>
          <w:r w:rsidR="002233EC">
            <w:rPr>
              <w:lang w:eastAsia="en-US"/>
            </w:rPr>
            <w:fldChar w:fldCharType="separate"/>
          </w:r>
          <w:r w:rsidR="002233EC">
            <w:rPr>
              <w:noProof/>
              <w:lang w:eastAsia="en-US"/>
            </w:rPr>
            <w:t>(European Union, 2016)</w:t>
          </w:r>
          <w:r w:rsidR="002233EC">
            <w:rPr>
              <w:lang w:eastAsia="en-US"/>
            </w:rPr>
            <w:fldChar w:fldCharType="end"/>
          </w:r>
        </w:sdtContent>
      </w:sdt>
      <w:r w:rsidR="002233EC">
        <w:rPr>
          <w:lang w:eastAsia="en-US"/>
        </w:rPr>
        <w:t xml:space="preserve"> </w:t>
      </w:r>
      <w:r>
        <w:rPr>
          <w:lang w:eastAsia="en-US"/>
        </w:rPr>
        <w:t>anchors. These references were mapped using legal taggers</w:t>
      </w:r>
      <w:r w:rsidR="002233EC">
        <w:rPr>
          <w:rStyle w:val="FootnoteReference"/>
          <w:lang w:eastAsia="en-US"/>
        </w:rPr>
        <w:footnoteReference w:id="3"/>
      </w:r>
      <w:r>
        <w:rPr>
          <w:lang w:eastAsia="en-US"/>
        </w:rPr>
        <w:t xml:space="preserve"> to ensure semantic and regulatory grounding.</w:t>
      </w:r>
    </w:p>
    <w:p w14:paraId="0F59423C" w14:textId="77777777" w:rsidR="00A30CD3" w:rsidRDefault="00C56AF4" w:rsidP="00B36764">
      <w:pPr>
        <w:pStyle w:val="ListParagraph"/>
        <w:numPr>
          <w:ilvl w:val="0"/>
          <w:numId w:val="85"/>
        </w:numPr>
        <w:rPr>
          <w:lang w:eastAsia="en-US"/>
        </w:rPr>
      </w:pPr>
      <w:r w:rsidRPr="00A30CD3">
        <w:rPr>
          <w:b/>
          <w:bCs/>
          <w:lang w:eastAsia="en-US"/>
        </w:rPr>
        <w:t>Future-Orientation:</w:t>
      </w:r>
      <w:r>
        <w:rPr>
          <w:lang w:eastAsia="en-US"/>
        </w:rPr>
        <w:t xml:space="preserve"> We required mechanisms for ethical drift detection</w:t>
      </w:r>
      <w:r w:rsidR="004A1AC1">
        <w:rPr>
          <w:lang w:eastAsia="en-US"/>
        </w:rPr>
        <w:t>, reassessment triggers, and value evolution. Ethical drift, where principled systems degrade under institutional normalization, has been documented in high-stakes fields such as law enforcement</w:t>
      </w:r>
      <w:sdt>
        <w:sdtPr>
          <w:rPr>
            <w:lang w:eastAsia="en-US"/>
          </w:rPr>
          <w:id w:val="-371003207"/>
          <w:citation/>
        </w:sdtPr>
        <w:sdtContent>
          <w:r w:rsidR="004A1AC1">
            <w:rPr>
              <w:lang w:eastAsia="en-US"/>
            </w:rPr>
            <w:fldChar w:fldCharType="begin"/>
          </w:r>
          <w:r w:rsidR="004A1AC1">
            <w:rPr>
              <w:lang w:eastAsia="en-US"/>
            </w:rPr>
            <w:instrText xml:space="preserve"> CITATION Man20 \l 1033  \m Ste211</w:instrText>
          </w:r>
          <w:r w:rsidR="004A1AC1">
            <w:rPr>
              <w:lang w:eastAsia="en-US"/>
            </w:rPr>
            <w:fldChar w:fldCharType="separate"/>
          </w:r>
          <w:r w:rsidR="004A1AC1">
            <w:rPr>
              <w:noProof/>
              <w:lang w:eastAsia="en-US"/>
            </w:rPr>
            <w:t xml:space="preserve"> (Mann, 2020; Sternberg, 2012)</w:t>
          </w:r>
          <w:r w:rsidR="004A1AC1">
            <w:rPr>
              <w:lang w:eastAsia="en-US"/>
            </w:rPr>
            <w:fldChar w:fldCharType="end"/>
          </w:r>
        </w:sdtContent>
      </w:sdt>
      <w:r w:rsidR="00A30CD3">
        <w:rPr>
          <w:lang w:eastAsia="en-US"/>
        </w:rPr>
        <w:t>.</w:t>
      </w:r>
    </w:p>
    <w:p w14:paraId="75E8B5FD" w14:textId="52EF3FBF" w:rsidR="00A30CD3" w:rsidRDefault="00A30CD3" w:rsidP="00A30CD3">
      <w:pPr>
        <w:rPr>
          <w:lang w:eastAsia="en-US"/>
        </w:rPr>
      </w:pPr>
      <w:r>
        <w:rPr>
          <w:lang w:eastAsia="en-US"/>
        </w:rPr>
        <w:t xml:space="preserve">Recent scholarship on AI ethics further reinforces this need. Dai et al. </w:t>
      </w:r>
      <w:sdt>
        <w:sdtPr>
          <w:rPr>
            <w:lang w:eastAsia="en-US"/>
          </w:rPr>
          <w:id w:val="-2110646906"/>
          <w:citation/>
        </w:sdtPr>
        <w:sdtContent>
          <w:r>
            <w:rPr>
              <w:lang w:eastAsia="en-US"/>
            </w:rPr>
            <w:fldChar w:fldCharType="begin"/>
          </w:r>
          <w:r>
            <w:rPr>
              <w:lang w:eastAsia="en-US"/>
            </w:rPr>
            <w:instrText xml:space="preserve">CITATION Dai22 \n  \t  \l 1033 </w:instrText>
          </w:r>
          <w:r>
            <w:rPr>
              <w:lang w:eastAsia="en-US"/>
            </w:rPr>
            <w:fldChar w:fldCharType="separate"/>
          </w:r>
          <w:r>
            <w:rPr>
              <w:noProof/>
              <w:lang w:eastAsia="en-US"/>
            </w:rPr>
            <w:t>(2022)</w:t>
          </w:r>
          <w:r>
            <w:rPr>
              <w:lang w:eastAsia="en-US"/>
            </w:rPr>
            <w:fldChar w:fldCharType="end"/>
          </w:r>
        </w:sdtContent>
      </w:sdt>
      <w:r>
        <w:rPr>
          <w:lang w:eastAsia="en-US"/>
        </w:rPr>
        <w:t xml:space="preserve"> demonstrate how user values shift over time in response to system interaction and technological embedding. De Cesare </w:t>
      </w:r>
      <w:sdt>
        <w:sdtPr>
          <w:rPr>
            <w:lang w:eastAsia="en-US"/>
          </w:rPr>
          <w:id w:val="-1909683536"/>
          <w:citation/>
        </w:sdtPr>
        <w:sdtContent>
          <w:r>
            <w:rPr>
              <w:lang w:eastAsia="en-US"/>
            </w:rPr>
            <w:fldChar w:fldCharType="begin"/>
          </w:r>
          <w:r>
            <w:rPr>
              <w:lang w:eastAsia="en-US"/>
            </w:rPr>
            <w:instrText xml:space="preserve">CITATION DeC22 \n  \t  \l 1033 </w:instrText>
          </w:r>
          <w:r>
            <w:rPr>
              <w:lang w:eastAsia="en-US"/>
            </w:rPr>
            <w:fldChar w:fldCharType="separate"/>
          </w:r>
          <w:r>
            <w:rPr>
              <w:noProof/>
              <w:lang w:eastAsia="en-US"/>
            </w:rPr>
            <w:t>(2022)</w:t>
          </w:r>
          <w:r>
            <w:rPr>
              <w:lang w:eastAsia="en-US"/>
            </w:rPr>
            <w:fldChar w:fldCharType="end"/>
          </w:r>
        </w:sdtContent>
      </w:sdt>
      <w:r>
        <w:rPr>
          <w:lang w:eastAsia="en-US"/>
        </w:rPr>
        <w:t xml:space="preserve"> adds ontological clarity, showing that values themselves evolve structurally under new sociotechnical paradigms. Combined, these insights support our inclusion of adaptive value mechanisms and epistemic trust modeling—particularly for AI systems operating under conditions of uncertainty, transhuman integration, or deep sustainability.</w:t>
      </w:r>
    </w:p>
    <w:p w14:paraId="23CD5C37" w14:textId="73F473B3" w:rsidR="00C56AF4" w:rsidRDefault="00A30CD3" w:rsidP="00A30CD3">
      <w:pPr>
        <w:rPr>
          <w:lang w:eastAsia="en-US"/>
        </w:rPr>
      </w:pPr>
      <w:r>
        <w:rPr>
          <w:lang w:eastAsia="en-US"/>
        </w:rPr>
        <w:t>In this spirit, the AI Moral Code project launches aimoralcode.org to continue iterating values through global input—modeling the same transparency and participatory ethics we ad</w:t>
      </w:r>
      <w:r w:rsidR="00C56AF4">
        <w:rPr>
          <w:lang w:eastAsia="en-US"/>
        </w:rPr>
        <w:t>.</w:t>
      </w:r>
    </w:p>
    <w:p w14:paraId="18578206" w14:textId="77777777" w:rsidR="00C56AF4" w:rsidRDefault="00C56AF4" w:rsidP="00C56AF4">
      <w:pPr>
        <w:rPr>
          <w:lang w:eastAsia="en-US"/>
        </w:rPr>
      </w:pPr>
    </w:p>
    <w:p w14:paraId="07B3ACC2" w14:textId="50C84F0B" w:rsidR="00B923CE" w:rsidRDefault="00B923CE" w:rsidP="00D85BA1">
      <w:pPr>
        <w:pStyle w:val="Heading1"/>
      </w:pPr>
      <w:r>
        <w:lastRenderedPageBreak/>
        <w:t>Methodological Details and Scoring Logic</w:t>
      </w:r>
    </w:p>
    <w:p w14:paraId="1AD15A89" w14:textId="77777777" w:rsidR="006559D6" w:rsidRDefault="006559D6" w:rsidP="006559D6">
      <w:pPr>
        <w:pStyle w:val="Heading2"/>
      </w:pPr>
      <w:r>
        <w:t>Canonical Value Identification</w:t>
      </w:r>
    </w:p>
    <w:p w14:paraId="1D724237" w14:textId="737AACD4" w:rsidR="00B258E6" w:rsidRDefault="00B35844" w:rsidP="00EE2EFF">
      <w:pPr>
        <w:rPr>
          <w:lang w:eastAsia="en-US"/>
        </w:rPr>
      </w:pPr>
      <w:r w:rsidRPr="00B35844">
        <w:rPr>
          <w:lang w:eastAsia="en-US"/>
        </w:rPr>
        <w:t>The canonical value architecture was derived from convergence across over 291 ethics documents, not merely lexical clustering. Values were stratified into three operational tiers—Moral Core, Instrumental, and Conditional—based on simulation performance, ethical salience, and system-level deployment complexity. While institutional sources informed initial scaffolding, final inclusion required contextual stability, simulation resilience, and semantic coherence.</w:t>
      </w:r>
    </w:p>
    <w:p w14:paraId="31176554" w14:textId="3A2D0876" w:rsidR="003769DD" w:rsidRDefault="003769DD" w:rsidP="00EE2EFF">
      <w:r>
        <w:t xml:space="preserve">This stratification approach signals a shift from traditional value normalization—where significance is determined by frequency or cultural consensus—to performance-based ethical evaluation. In contrast to earlier reviews that relied on value frequency across documents to define ethical significance </w:t>
      </w:r>
      <w:sdt>
        <w:sdtPr>
          <w:id w:val="-1023940694"/>
          <w:citation/>
        </w:sdtPr>
        <w:sdtContent>
          <w:r>
            <w:fldChar w:fldCharType="begin"/>
          </w:r>
          <w:r>
            <w:instrText xml:space="preserve"> CITATION Job191 \l 1033  \m Har211 \m Flo19</w:instrText>
          </w:r>
          <w:r>
            <w:fldChar w:fldCharType="separate"/>
          </w:r>
          <w:r>
            <w:rPr>
              <w:noProof/>
            </w:rPr>
            <w:t>(Jobin, Ienca, &amp; Vayena, 2019; Fjeld, Achten, Hilligoss, Nagy, &amp; Srikumar, 2020; Floridi &amp; Cowls, A unified framework of five principles for AI in society, 2019)</w:t>
          </w:r>
          <w:r>
            <w:fldChar w:fldCharType="end"/>
          </w:r>
        </w:sdtContent>
      </w:sdt>
      <w:r>
        <w:t xml:space="preserve"> our model emphasizes value performance within context-sensitive simulations. We do not assume that frequency implies ethical centrality—only that it signals discursive prominence. In our framework, a value earns its Moral Core status not from mention but from </w:t>
      </w:r>
      <w:r w:rsidRPr="003769DD">
        <w:rPr>
          <w:rStyle w:val="Strong"/>
          <w:b w:val="0"/>
          <w:bCs w:val="0"/>
        </w:rPr>
        <w:t>demonstrable resilience across complex, high-stakes simulations</w:t>
      </w:r>
      <w:r>
        <w:t xml:space="preserve">. Trust, for example, is not framed as a purely social construct (à la Aristotelian habit or Kantian duty), but as a system condition—an outcome of explainability, transparency, and behavioral predictability. In this way, the </w:t>
      </w:r>
      <w:r>
        <w:rPr>
          <w:rStyle w:val="Emphasis"/>
        </w:rPr>
        <w:t>AI Moral Code</w:t>
      </w:r>
      <w:r>
        <w:t xml:space="preserve"> redefines ethical centrality through system integrity rather than social convention, aligning moral valuation with the logic of machine-integrated co-agency.</w:t>
      </w:r>
    </w:p>
    <w:p w14:paraId="60203388" w14:textId="5237843B" w:rsidR="003769DD" w:rsidRPr="00B258E6" w:rsidRDefault="003769DD" w:rsidP="00EE2EFF">
      <w:pPr>
        <w:rPr>
          <w:lang w:eastAsia="en-US"/>
        </w:rPr>
      </w:pPr>
      <w:r w:rsidRPr="003769DD">
        <w:rPr>
          <w:lang w:eastAsia="en-US"/>
        </w:rPr>
        <w:lastRenderedPageBreak/>
        <w:t xml:space="preserve">Fox and DeMarco </w:t>
      </w:r>
      <w:sdt>
        <w:sdtPr>
          <w:rPr>
            <w:lang w:eastAsia="en-US"/>
          </w:rPr>
          <w:id w:val="-299532188"/>
          <w:citation/>
        </w:sdtPr>
        <w:sdtContent>
          <w:r>
            <w:rPr>
              <w:lang w:eastAsia="en-US"/>
            </w:rPr>
            <w:fldChar w:fldCharType="begin"/>
          </w:r>
          <w:r>
            <w:rPr>
              <w:lang w:eastAsia="en-US"/>
            </w:rPr>
            <w:instrText xml:space="preserve">CITATION Fox01 \n  \t  \l 1033 </w:instrText>
          </w:r>
          <w:r>
            <w:rPr>
              <w:lang w:eastAsia="en-US"/>
            </w:rPr>
            <w:fldChar w:fldCharType="separate"/>
          </w:r>
          <w:r>
            <w:rPr>
              <w:noProof/>
              <w:lang w:eastAsia="en-US"/>
            </w:rPr>
            <w:t>(2001)</w:t>
          </w:r>
          <w:r>
            <w:rPr>
              <w:lang w:eastAsia="en-US"/>
            </w:rPr>
            <w:fldChar w:fldCharType="end"/>
          </w:r>
        </w:sdtContent>
      </w:sdt>
      <w:r>
        <w:rPr>
          <w:lang w:eastAsia="en-US"/>
        </w:rPr>
        <w:t xml:space="preserve"> </w:t>
      </w:r>
      <w:r w:rsidRPr="003769DD">
        <w:rPr>
          <w:lang w:eastAsia="en-US"/>
        </w:rPr>
        <w:t>emphasize that moral reasoning in applied ethics must be derived from philosophical rigor, not polling or popularity. This contrasts with frequency-based ethics and aligns more closely with your stratified tier system based on virtue, duty, and consequence.</w:t>
      </w:r>
      <w:r>
        <w:rPr>
          <w:lang w:eastAsia="en-US"/>
        </w:rPr>
        <w:t xml:space="preserve"> </w:t>
      </w:r>
      <w:r>
        <w:t>Following Fox and DeMarco (2001), we resist treating value consensus or frequency as sufficient ethical justification. Instead, our methodology anchors values in structured moral reasoning—tested through consequence (simulation), duty (traceability), and virtue (semantic consistency)—consistent with the philosophical rigor expected in applied ethics.</w:t>
      </w:r>
    </w:p>
    <w:p w14:paraId="4362EF34" w14:textId="6A27BC58" w:rsidR="00B258E6" w:rsidRDefault="009E7F53" w:rsidP="009E7F53">
      <w:pPr>
        <w:pStyle w:val="Heading2"/>
      </w:pPr>
      <w:r>
        <w:t>Sectoral Representation and Semantic Sampling</w:t>
      </w:r>
    </w:p>
    <w:p w14:paraId="486804A8" w14:textId="127E09B4" w:rsidR="009E7F53" w:rsidRPr="009E7F53" w:rsidRDefault="003769DD" w:rsidP="009E7F53">
      <w:pPr>
        <w:rPr>
          <w:lang w:eastAsia="en-US"/>
        </w:rPr>
      </w:pPr>
      <w:r w:rsidRPr="003769DD">
        <w:t xml:space="preserve">Sectoral balance was preserved, but extraction focused on semantic matching rather than raw frequency. Sentence-BERT embeddings allowed precision-matching for ethical terms, while sectoral origin enabled post-hoc bias calibration. </w:t>
      </w:r>
      <w:r>
        <w:t xml:space="preserve">Semantic embedding was achieved using Sentence-BERT </w:t>
      </w:r>
      <w:sdt>
        <w:sdtPr>
          <w:id w:val="-1308171865"/>
          <w:citation/>
        </w:sdtPr>
        <w:sdtContent>
          <w:r>
            <w:fldChar w:fldCharType="begin"/>
          </w:r>
          <w:r>
            <w:instrText xml:space="preserve"> CITATION Rei19 \l 1033 </w:instrText>
          </w:r>
          <w:r>
            <w:fldChar w:fldCharType="separate"/>
          </w:r>
          <w:r>
            <w:rPr>
              <w:noProof/>
            </w:rPr>
            <w:t>(Reimers &amp; Gureyvch, 2019)</w:t>
          </w:r>
          <w:r>
            <w:fldChar w:fldCharType="end"/>
          </w:r>
        </w:sdtContent>
      </w:sdt>
      <w:r>
        <w:t xml:space="preserve">, allowing contextual value extraction at the sentence and paragraph level. </w:t>
      </w:r>
      <w:r w:rsidRPr="003769DD">
        <w:t>This ensured rhetorical inflation (e.g., corporate repetition of 'transparency') did not artificially elevate prominence.</w:t>
      </w:r>
    </w:p>
    <w:p w14:paraId="1C5DF1B8" w14:textId="77777777" w:rsidR="00D85BA1" w:rsidRDefault="00B258E6" w:rsidP="00B923CE">
      <w:pPr>
        <w:pStyle w:val="Heading3"/>
      </w:pPr>
      <w:r w:rsidRPr="00B258E6">
        <w:t>Sector Weighting</w:t>
      </w:r>
    </w:p>
    <w:p w14:paraId="457F72B6" w14:textId="7E9F7B1C" w:rsidR="00B258E6" w:rsidRPr="00B258E6" w:rsidRDefault="003769DD" w:rsidP="00EE2EFF">
      <w:pPr>
        <w:rPr>
          <w:lang w:eastAsia="en-US"/>
        </w:rPr>
      </w:pPr>
      <w:r w:rsidRPr="003769DD">
        <w:rPr>
          <w:lang w:eastAsia="en-US"/>
        </w:rPr>
        <w:t>A Sector Weight Index (SWI) normalized value prominence by the normative authority of the issuing institution. Documents from governments and NGOs were given higher institutional weight, consistent with their roles in setting enforceable standards and ethical advocacy</w:t>
      </w:r>
      <w:r>
        <w:rPr>
          <w:lang w:eastAsia="en-US"/>
        </w:rPr>
        <w:t xml:space="preserve"> </w:t>
      </w:r>
      <w:sdt>
        <w:sdtPr>
          <w:rPr>
            <w:lang w:eastAsia="en-US"/>
          </w:rPr>
          <w:id w:val="1908885092"/>
          <w:citation/>
        </w:sdtPr>
        <w:sdtContent>
          <w:r w:rsidR="006A3C63">
            <w:rPr>
              <w:lang w:eastAsia="en-US"/>
            </w:rPr>
            <w:fldChar w:fldCharType="begin"/>
          </w:r>
          <w:r w:rsidR="006A3C63">
            <w:rPr>
              <w:lang w:eastAsia="en-US"/>
            </w:rPr>
            <w:instrText xml:space="preserve"> CITATION Ris13 \l 1033 </w:instrText>
          </w:r>
          <w:r w:rsidR="0002601B">
            <w:rPr>
              <w:lang w:eastAsia="en-US"/>
            </w:rPr>
            <w:instrText xml:space="preserve"> \m Suc95 \m Ber11</w:instrText>
          </w:r>
          <w:r w:rsidR="006A3C63">
            <w:rPr>
              <w:lang w:eastAsia="en-US"/>
            </w:rPr>
            <w:fldChar w:fldCharType="separate"/>
          </w:r>
          <w:r w:rsidR="0002601B">
            <w:rPr>
              <w:noProof/>
              <w:lang w:eastAsia="en-US"/>
            </w:rPr>
            <w:t>(Risse, Ruggie, &amp; Zürn, 2013; Suchman, 1995; Bernstein, 2011)</w:t>
          </w:r>
          <w:r w:rsidR="006A3C63">
            <w:rPr>
              <w:lang w:eastAsia="en-US"/>
            </w:rPr>
            <w:fldChar w:fldCharType="end"/>
          </w:r>
        </w:sdtContent>
      </w:sdt>
      <w:r w:rsidR="006A3C63">
        <w:rPr>
          <w:lang w:eastAsia="en-US"/>
        </w:rPr>
        <w:t>.</w:t>
      </w:r>
      <w:r w:rsidR="0002601B">
        <w:rPr>
          <w:lang w:eastAsia="en-US"/>
        </w:rPr>
        <w:t xml:space="preserve"> This approach ensures rhetorical volume does not mask moral significance.</w:t>
      </w:r>
    </w:p>
    <w:p w14:paraId="22312481" w14:textId="09000381" w:rsidR="00D85BA1" w:rsidRPr="00097E01" w:rsidRDefault="00B258E6" w:rsidP="00D85BA1">
      <w:pPr>
        <w:pStyle w:val="Heading2"/>
      </w:pPr>
      <w:r w:rsidRPr="00097E01">
        <w:t>Composite Value Score (CVS)</w:t>
      </w:r>
      <w:r w:rsidR="0002601B" w:rsidRPr="00097E01">
        <w:t xml:space="preserve"> LOGIC</w:t>
      </w:r>
    </w:p>
    <w:p w14:paraId="08652FED" w14:textId="34D78E81" w:rsidR="0002601B" w:rsidRPr="0002601B" w:rsidRDefault="003769DD" w:rsidP="0002601B">
      <w:pPr>
        <w:rPr>
          <w:lang w:eastAsia="en-US"/>
        </w:rPr>
      </w:pPr>
      <w:r>
        <w:rPr>
          <w:lang w:eastAsia="en-US"/>
        </w:rPr>
        <w:t>Each value was scored using the following weighted formula</w:t>
      </w:r>
      <w:r w:rsidR="0002601B">
        <w:rPr>
          <w:lang w:eastAsia="en-US"/>
        </w:rPr>
        <w:t>:</w:t>
      </w:r>
    </w:p>
    <w:p w14:paraId="5635BE44" w14:textId="4FCBC17C" w:rsidR="00B923CE" w:rsidRDefault="00B258E6" w:rsidP="00B923CE">
      <w:pPr>
        <w:ind w:firstLine="0"/>
        <w:jc w:val="center"/>
        <w:rPr>
          <w:lang w:eastAsia="en-US"/>
        </w:rPr>
      </w:pPr>
      <w:r w:rsidRPr="00B258E6">
        <w:rPr>
          <w:lang w:eastAsia="en-US"/>
        </w:rPr>
        <w:lastRenderedPageBreak/>
        <w:t>CVS = ∑ (TF</w:t>
      </w:r>
      <w:r w:rsidR="002A1EE1">
        <w:rPr>
          <w:rStyle w:val="FootnoteReference"/>
          <w:lang w:eastAsia="en-US"/>
        </w:rPr>
        <w:footnoteReference w:id="4"/>
      </w:r>
      <w:r w:rsidRPr="00B258E6">
        <w:rPr>
          <w:lang w:eastAsia="en-US"/>
        </w:rPr>
        <w:t xml:space="preserve"> × IDF</w:t>
      </w:r>
      <w:r w:rsidR="002A1EE1">
        <w:rPr>
          <w:rStyle w:val="FootnoteReference"/>
          <w:lang w:eastAsia="en-US"/>
        </w:rPr>
        <w:footnoteReference w:id="5"/>
      </w:r>
      <w:r w:rsidRPr="00B258E6">
        <w:rPr>
          <w:lang w:eastAsia="en-US"/>
        </w:rPr>
        <w:t xml:space="preserve"> × SWI</w:t>
      </w:r>
      <w:r w:rsidR="002A1EE1">
        <w:rPr>
          <w:rStyle w:val="FootnoteReference"/>
          <w:lang w:eastAsia="en-US"/>
        </w:rPr>
        <w:footnoteReference w:id="6"/>
      </w:r>
      <w:r w:rsidRPr="00B258E6">
        <w:rPr>
          <w:lang w:eastAsia="en-US"/>
        </w:rPr>
        <w:t xml:space="preserve"> × CM</w:t>
      </w:r>
      <w:r w:rsidR="002A1EE1">
        <w:rPr>
          <w:rStyle w:val="FootnoteReference"/>
          <w:lang w:eastAsia="en-US"/>
        </w:rPr>
        <w:footnoteReference w:id="7"/>
      </w:r>
      <w:r w:rsidRPr="00B258E6">
        <w:rPr>
          <w:lang w:eastAsia="en-US"/>
        </w:rPr>
        <w:t>),</w:t>
      </w:r>
    </w:p>
    <w:p w14:paraId="45607B45" w14:textId="2F883C44" w:rsidR="00B258E6" w:rsidRDefault="00E71307" w:rsidP="00EE2EFF">
      <w:pPr>
        <w:rPr>
          <w:lang w:eastAsia="en-US"/>
        </w:rPr>
      </w:pPr>
      <w:r w:rsidRPr="00E71307">
        <w:rPr>
          <w:lang w:eastAsia="en-US"/>
        </w:rPr>
        <w:t>Whe</w:t>
      </w:r>
      <w:r w:rsidR="0002601B">
        <w:rPr>
          <w:lang w:eastAsia="en-US"/>
        </w:rPr>
        <w:t>re:</w:t>
      </w:r>
    </w:p>
    <w:p w14:paraId="079E6B6A" w14:textId="76C622D4" w:rsidR="0002601B" w:rsidRDefault="0002601B" w:rsidP="002A1EE1">
      <w:pPr>
        <w:pStyle w:val="ListParagraph"/>
        <w:numPr>
          <w:ilvl w:val="0"/>
          <w:numId w:val="84"/>
        </w:numPr>
        <w:rPr>
          <w:lang w:eastAsia="en-US"/>
        </w:rPr>
      </w:pPr>
      <w:r>
        <w:rPr>
          <w:lang w:eastAsia="en-US"/>
        </w:rPr>
        <w:t xml:space="preserve">TF x IDF anchors </w:t>
      </w:r>
      <w:r w:rsidR="003769DD">
        <w:rPr>
          <w:lang w:eastAsia="en-US"/>
        </w:rPr>
        <w:t>frequency context</w:t>
      </w:r>
    </w:p>
    <w:p w14:paraId="18129FBD" w14:textId="5777C226" w:rsidR="0002601B" w:rsidRDefault="0002601B" w:rsidP="002A1EE1">
      <w:pPr>
        <w:pStyle w:val="ListParagraph"/>
        <w:numPr>
          <w:ilvl w:val="0"/>
          <w:numId w:val="84"/>
        </w:numPr>
        <w:rPr>
          <w:lang w:eastAsia="en-US"/>
        </w:rPr>
      </w:pPr>
      <w:r>
        <w:rPr>
          <w:lang w:eastAsia="en-US"/>
        </w:rPr>
        <w:t xml:space="preserve">SWI </w:t>
      </w:r>
      <w:r w:rsidR="003769DD">
        <w:rPr>
          <w:lang w:eastAsia="en-US"/>
        </w:rPr>
        <w:t xml:space="preserve">calibrates sectoral </w:t>
      </w:r>
      <w:proofErr w:type="spellStart"/>
      <w:r w:rsidR="003769DD">
        <w:rPr>
          <w:lang w:eastAsia="en-US"/>
        </w:rPr>
        <w:t>legitmacy</w:t>
      </w:r>
      <w:proofErr w:type="spellEnd"/>
    </w:p>
    <w:p w14:paraId="7EB80008" w14:textId="00F0BEA9" w:rsidR="0002601B" w:rsidRPr="00B258E6" w:rsidRDefault="0002601B" w:rsidP="002A1EE1">
      <w:pPr>
        <w:pStyle w:val="ListParagraph"/>
        <w:numPr>
          <w:ilvl w:val="0"/>
          <w:numId w:val="84"/>
        </w:numPr>
        <w:rPr>
          <w:lang w:eastAsia="en-US"/>
        </w:rPr>
      </w:pPr>
      <w:r>
        <w:rPr>
          <w:lang w:eastAsia="en-US"/>
        </w:rPr>
        <w:t>CM (Contextual Multiplier</w:t>
      </w:r>
      <w:r w:rsidR="003769DD">
        <w:rPr>
          <w:lang w:eastAsia="en-US"/>
        </w:rPr>
        <w:t>) boosts terms in high-impact zones (titles, principle clauses), and incorporates confidence scoring and simulation relevance</w:t>
      </w:r>
      <w:r>
        <w:rPr>
          <w:lang w:eastAsia="en-US"/>
        </w:rPr>
        <w:t>.</w:t>
      </w:r>
    </w:p>
    <w:p w14:paraId="1F910166" w14:textId="6D81C8B6" w:rsidR="00E71307" w:rsidRDefault="00B258E6" w:rsidP="00E71307">
      <w:pPr>
        <w:pStyle w:val="Heading2"/>
      </w:pPr>
      <w:r w:rsidRPr="00B258E6">
        <w:t>Ethical Verification</w:t>
      </w:r>
      <w:r w:rsidR="002A1EE1">
        <w:t xml:space="preserve"> Framework</w:t>
      </w:r>
    </w:p>
    <w:p w14:paraId="2165E707" w14:textId="33C2C692" w:rsidR="00B258E6" w:rsidRPr="00B258E6" w:rsidRDefault="002A1EE1" w:rsidP="00E71307">
      <w:pPr>
        <w:rPr>
          <w:lang w:eastAsia="en-US"/>
        </w:rPr>
      </w:pPr>
      <w:r>
        <w:rPr>
          <w:lang w:eastAsia="en-US"/>
        </w:rPr>
        <w:t xml:space="preserve">Each canonical value underwent triangulated validation </w:t>
      </w:r>
      <w:r w:rsidR="00F4287D">
        <w:rPr>
          <w:lang w:eastAsia="en-US"/>
        </w:rPr>
        <w:t>via</w:t>
      </w:r>
      <w:r>
        <w:rPr>
          <w:lang w:eastAsia="en-US"/>
        </w:rPr>
        <w:t>:</w:t>
      </w:r>
    </w:p>
    <w:p w14:paraId="5D5CACAA" w14:textId="2BFD787B" w:rsidR="00B258E6" w:rsidRPr="00B258E6" w:rsidRDefault="002A1EE1" w:rsidP="00EE2EFF">
      <w:pPr>
        <w:pStyle w:val="ListParagraph"/>
        <w:numPr>
          <w:ilvl w:val="0"/>
          <w:numId w:val="63"/>
        </w:numPr>
        <w:rPr>
          <w:lang w:eastAsia="en-US"/>
        </w:rPr>
      </w:pPr>
      <w:proofErr w:type="spellStart"/>
      <w:r>
        <w:rPr>
          <w:lang w:eastAsia="en-US"/>
        </w:rPr>
        <w:t>Val_Frequency_Counts</w:t>
      </w:r>
      <w:proofErr w:type="spellEnd"/>
      <w:r w:rsidR="00F4287D">
        <w:rPr>
          <w:lang w:eastAsia="en-US"/>
        </w:rPr>
        <w:t xml:space="preserve"> for presence and semantic clarity</w:t>
      </w:r>
    </w:p>
    <w:p w14:paraId="4758EDA5" w14:textId="6259BA67" w:rsidR="00B258E6" w:rsidRPr="00B258E6" w:rsidRDefault="00F4287D" w:rsidP="00EE2EFF">
      <w:pPr>
        <w:pStyle w:val="ListParagraph"/>
        <w:numPr>
          <w:ilvl w:val="0"/>
          <w:numId w:val="63"/>
        </w:numPr>
        <w:rPr>
          <w:lang w:eastAsia="en-US"/>
        </w:rPr>
      </w:pPr>
      <w:r>
        <w:rPr>
          <w:lang w:eastAsia="en-US"/>
        </w:rPr>
        <w:t>NRBC moral theory stratification (Virtue, Deontology, Consequentialism</w:t>
      </w:r>
      <w:r w:rsidR="00B258E6" w:rsidRPr="00B258E6">
        <w:rPr>
          <w:lang w:eastAsia="en-US"/>
        </w:rPr>
        <w:t>)</w:t>
      </w:r>
    </w:p>
    <w:p w14:paraId="39A19E65" w14:textId="340A6998" w:rsidR="00B258E6" w:rsidRPr="00B258E6" w:rsidRDefault="002A1EE1" w:rsidP="00EE2EFF">
      <w:pPr>
        <w:pStyle w:val="ListParagraph"/>
        <w:numPr>
          <w:ilvl w:val="0"/>
          <w:numId w:val="63"/>
        </w:numPr>
        <w:rPr>
          <w:lang w:eastAsia="en-US"/>
        </w:rPr>
      </w:pPr>
      <w:r>
        <w:rPr>
          <w:lang w:eastAsia="en-US"/>
        </w:rPr>
        <w:t xml:space="preserve">Scenario Simulation Performance, using the </w:t>
      </w:r>
      <w:proofErr w:type="spellStart"/>
      <w:r>
        <w:rPr>
          <w:lang w:eastAsia="en-US"/>
        </w:rPr>
        <w:t>Val_Weighting_Schema</w:t>
      </w:r>
      <w:proofErr w:type="spellEnd"/>
      <w:r>
        <w:rPr>
          <w:lang w:eastAsia="en-US"/>
        </w:rPr>
        <w:t xml:space="preserve"> to assess resilience in ethically complex environments (e.g., privacy under surveillance, fairness in algorithmic classification; autonomy in constrained systems</w:t>
      </w:r>
      <w:r w:rsidR="00B258E6" w:rsidRPr="00B258E6">
        <w:rPr>
          <w:lang w:eastAsia="en-US"/>
        </w:rPr>
        <w:t>)</w:t>
      </w:r>
      <w:r>
        <w:rPr>
          <w:lang w:eastAsia="en-US"/>
        </w:rPr>
        <w:t>.</w:t>
      </w:r>
    </w:p>
    <w:p w14:paraId="4C02574F" w14:textId="77777777" w:rsidR="00D85BA1" w:rsidRDefault="00B258E6" w:rsidP="00D85BA1">
      <w:pPr>
        <w:pStyle w:val="Heading1"/>
        <w:rPr>
          <w:lang w:eastAsia="en-US"/>
        </w:rPr>
      </w:pPr>
      <w:r w:rsidRPr="00B258E6">
        <w:rPr>
          <w:lang w:eastAsia="en-US"/>
        </w:rPr>
        <w:t>Update on Canonical Value Evolution</w:t>
      </w:r>
    </w:p>
    <w:p w14:paraId="08465F2A" w14:textId="2870A19E" w:rsidR="00B258E6" w:rsidRPr="00B258E6" w:rsidRDefault="00B258E6" w:rsidP="00D85BA1">
      <w:pPr>
        <w:rPr>
          <w:lang w:eastAsia="en-US"/>
        </w:rPr>
      </w:pPr>
      <w:r w:rsidRPr="00B258E6">
        <w:rPr>
          <w:lang w:eastAsia="en-US"/>
        </w:rPr>
        <w:t>Previous publications, including Hinrichs</w:t>
      </w:r>
      <w:r w:rsidR="00F4287D">
        <w:rPr>
          <w:lang w:eastAsia="en-US"/>
        </w:rPr>
        <w:t xml:space="preserve"> </w:t>
      </w:r>
      <w:sdt>
        <w:sdtPr>
          <w:rPr>
            <w:lang w:eastAsia="en-US"/>
          </w:rPr>
          <w:id w:val="1483737924"/>
          <w:citation/>
        </w:sdtPr>
        <w:sdtContent>
          <w:r w:rsidR="00F4287D">
            <w:rPr>
              <w:lang w:eastAsia="en-US"/>
            </w:rPr>
            <w:fldChar w:fldCharType="begin"/>
          </w:r>
          <w:r w:rsidR="00F4287D">
            <w:rPr>
              <w:lang w:eastAsia="en-US"/>
            </w:rPr>
            <w:instrText xml:space="preserve">CITATION Hin253 \n  \t  \l 1033 </w:instrText>
          </w:r>
          <w:r w:rsidR="00F4287D">
            <w:rPr>
              <w:lang w:eastAsia="en-US"/>
            </w:rPr>
            <w:fldChar w:fldCharType="separate"/>
          </w:r>
          <w:r w:rsidR="00F4287D">
            <w:rPr>
              <w:noProof/>
              <w:lang w:eastAsia="en-US"/>
            </w:rPr>
            <w:t>(2025)</w:t>
          </w:r>
          <w:r w:rsidR="00F4287D">
            <w:rPr>
              <w:lang w:eastAsia="en-US"/>
            </w:rPr>
            <w:fldChar w:fldCharType="end"/>
          </w:r>
        </w:sdtContent>
      </w:sdt>
      <w:r w:rsidRPr="00B258E6">
        <w:rPr>
          <w:lang w:eastAsia="en-US"/>
        </w:rPr>
        <w:t>, identified Justice, Transparency, Responsibility, Non-Maleficence, and Inclusivity as leading ethical values based on frequency and centrality. However, this deeper CVS-based derivation reveals a slightly evolved canonical structure that includes:</w:t>
      </w:r>
    </w:p>
    <w:p w14:paraId="23F914AF" w14:textId="77777777" w:rsidR="00044DE7" w:rsidRPr="00044DE7" w:rsidRDefault="00044DE7" w:rsidP="00044DE7">
      <w:pPr>
        <w:pStyle w:val="Heading2"/>
      </w:pPr>
      <w:r w:rsidRPr="00044DE7">
        <w:t>Core Moral Values</w:t>
      </w:r>
    </w:p>
    <w:p w14:paraId="259B38C5" w14:textId="77777777" w:rsidR="00044DE7" w:rsidRPr="00044DE7" w:rsidRDefault="00044DE7" w:rsidP="00044DE7">
      <w:pPr>
        <w:rPr>
          <w:lang w:eastAsia="en-US"/>
        </w:rPr>
      </w:pPr>
      <w:r w:rsidRPr="00044DE7">
        <w:rPr>
          <w:lang w:eastAsia="en-US"/>
        </w:rPr>
        <w:lastRenderedPageBreak/>
        <w:t>These are foundational ethical commitments, often deontological, virtue-based, or intrinsic to human moral frameworks. They form the non-negotiable moral core of the AI Moral Code.</w:t>
      </w:r>
    </w:p>
    <w:p w14:paraId="4EDDA413" w14:textId="77777777" w:rsidR="00044DE7" w:rsidRPr="00044DE7" w:rsidRDefault="00044DE7" w:rsidP="00044DE7">
      <w:pPr>
        <w:pStyle w:val="ListParagraph"/>
        <w:numPr>
          <w:ilvl w:val="0"/>
          <w:numId w:val="81"/>
        </w:numPr>
        <w:rPr>
          <w:lang w:eastAsia="en-US"/>
        </w:rPr>
      </w:pPr>
      <w:r w:rsidRPr="00044DE7">
        <w:rPr>
          <w:b/>
          <w:bCs/>
          <w:lang w:eastAsia="en-US"/>
        </w:rPr>
        <w:t>Beneficence</w:t>
      </w:r>
      <w:r w:rsidRPr="00044DE7">
        <w:rPr>
          <w:lang w:eastAsia="en-US"/>
        </w:rPr>
        <w:t xml:space="preserve"> – Active promotion of good, well-being, and flourishing</w:t>
      </w:r>
    </w:p>
    <w:p w14:paraId="27EC43D2" w14:textId="77777777" w:rsidR="00044DE7" w:rsidRPr="00044DE7" w:rsidRDefault="00044DE7" w:rsidP="00044DE7">
      <w:pPr>
        <w:pStyle w:val="ListParagraph"/>
        <w:numPr>
          <w:ilvl w:val="0"/>
          <w:numId w:val="81"/>
        </w:numPr>
        <w:rPr>
          <w:lang w:eastAsia="en-US"/>
        </w:rPr>
      </w:pPr>
      <w:r w:rsidRPr="00044DE7">
        <w:rPr>
          <w:b/>
          <w:bCs/>
          <w:lang w:eastAsia="en-US"/>
        </w:rPr>
        <w:t>Dignity</w:t>
      </w:r>
      <w:r w:rsidRPr="00044DE7">
        <w:rPr>
          <w:lang w:eastAsia="en-US"/>
        </w:rPr>
        <w:t xml:space="preserve"> – Recognition of intrinsic human worth and moral status</w:t>
      </w:r>
    </w:p>
    <w:p w14:paraId="2DF29DBE" w14:textId="77777777" w:rsidR="00044DE7" w:rsidRPr="00044DE7" w:rsidRDefault="00044DE7" w:rsidP="00044DE7">
      <w:pPr>
        <w:pStyle w:val="ListParagraph"/>
        <w:numPr>
          <w:ilvl w:val="0"/>
          <w:numId w:val="81"/>
        </w:numPr>
        <w:rPr>
          <w:lang w:eastAsia="en-US"/>
        </w:rPr>
      </w:pPr>
      <w:r w:rsidRPr="00044DE7">
        <w:rPr>
          <w:b/>
          <w:bCs/>
          <w:lang w:eastAsia="en-US"/>
        </w:rPr>
        <w:t>Fairness</w:t>
      </w:r>
      <w:r w:rsidRPr="00044DE7">
        <w:rPr>
          <w:lang w:eastAsia="en-US"/>
        </w:rPr>
        <w:t xml:space="preserve"> – Equity in treatment, distribution, and systemic outcomes</w:t>
      </w:r>
    </w:p>
    <w:p w14:paraId="4F9A3C51" w14:textId="77777777" w:rsidR="00044DE7" w:rsidRPr="00044DE7" w:rsidRDefault="00044DE7" w:rsidP="00044DE7">
      <w:pPr>
        <w:pStyle w:val="ListParagraph"/>
        <w:numPr>
          <w:ilvl w:val="0"/>
          <w:numId w:val="81"/>
        </w:numPr>
        <w:rPr>
          <w:lang w:eastAsia="en-US"/>
        </w:rPr>
      </w:pPr>
      <w:r w:rsidRPr="00044DE7">
        <w:rPr>
          <w:b/>
          <w:bCs/>
          <w:lang w:eastAsia="en-US"/>
        </w:rPr>
        <w:t>Justice</w:t>
      </w:r>
      <w:r w:rsidRPr="00044DE7">
        <w:rPr>
          <w:lang w:eastAsia="en-US"/>
        </w:rPr>
        <w:t xml:space="preserve"> – Procedural and distributive integrity across systems</w:t>
      </w:r>
    </w:p>
    <w:p w14:paraId="6B08D567" w14:textId="77777777" w:rsidR="00044DE7" w:rsidRPr="00044DE7" w:rsidRDefault="00044DE7" w:rsidP="00044DE7">
      <w:pPr>
        <w:pStyle w:val="ListParagraph"/>
        <w:numPr>
          <w:ilvl w:val="0"/>
          <w:numId w:val="81"/>
        </w:numPr>
        <w:rPr>
          <w:lang w:eastAsia="en-US"/>
        </w:rPr>
      </w:pPr>
      <w:r w:rsidRPr="00044DE7">
        <w:rPr>
          <w:b/>
          <w:bCs/>
          <w:lang w:eastAsia="en-US"/>
        </w:rPr>
        <w:t>Responsibility</w:t>
      </w:r>
      <w:r w:rsidRPr="00044DE7">
        <w:rPr>
          <w:lang w:eastAsia="en-US"/>
        </w:rPr>
        <w:t xml:space="preserve"> – Moral and institutional ownership of decisions</w:t>
      </w:r>
    </w:p>
    <w:p w14:paraId="229CC98E" w14:textId="62430E4B" w:rsidR="00044DE7" w:rsidRPr="00044DE7" w:rsidRDefault="00044DE7" w:rsidP="00044DE7">
      <w:pPr>
        <w:pStyle w:val="ListParagraph"/>
        <w:numPr>
          <w:ilvl w:val="0"/>
          <w:numId w:val="81"/>
        </w:numPr>
        <w:rPr>
          <w:lang w:eastAsia="en-US"/>
        </w:rPr>
      </w:pPr>
      <w:r w:rsidRPr="00044DE7">
        <w:rPr>
          <w:b/>
          <w:bCs/>
          <w:lang w:eastAsia="en-US"/>
        </w:rPr>
        <w:t>Trust</w:t>
      </w:r>
      <w:r w:rsidRPr="00044DE7">
        <w:rPr>
          <w:lang w:eastAsia="en-US"/>
        </w:rPr>
        <w:t xml:space="preserve"> – Foundational social bond enabling ethical co-functionality</w:t>
      </w:r>
    </w:p>
    <w:p w14:paraId="73ED0AC6" w14:textId="77777777" w:rsidR="00044DE7" w:rsidRPr="00044DE7" w:rsidRDefault="00044DE7" w:rsidP="00044DE7">
      <w:pPr>
        <w:pStyle w:val="Heading2"/>
      </w:pPr>
      <w:r w:rsidRPr="00044DE7">
        <w:t>Instrumental Values</w:t>
      </w:r>
    </w:p>
    <w:p w14:paraId="67C344FD" w14:textId="77777777" w:rsidR="00044DE7" w:rsidRPr="00044DE7" w:rsidRDefault="00044DE7" w:rsidP="00044DE7">
      <w:pPr>
        <w:rPr>
          <w:lang w:eastAsia="en-US"/>
        </w:rPr>
      </w:pPr>
      <w:r w:rsidRPr="00044DE7">
        <w:rPr>
          <w:lang w:eastAsia="en-US"/>
        </w:rPr>
        <w:t>These function as operational enablers. They help translate ethical commitments into system behavior, technical constraints, and measurable oversight mechanisms.</w:t>
      </w:r>
    </w:p>
    <w:p w14:paraId="493A8FE0" w14:textId="77777777" w:rsidR="00044DE7" w:rsidRPr="00044DE7" w:rsidRDefault="00044DE7" w:rsidP="00044DE7">
      <w:pPr>
        <w:pStyle w:val="ListParagraph"/>
        <w:numPr>
          <w:ilvl w:val="0"/>
          <w:numId w:val="81"/>
        </w:numPr>
        <w:rPr>
          <w:lang w:eastAsia="en-US"/>
        </w:rPr>
      </w:pPr>
      <w:r w:rsidRPr="00044DE7">
        <w:rPr>
          <w:b/>
          <w:bCs/>
          <w:lang w:eastAsia="en-US"/>
        </w:rPr>
        <w:t>Innovation</w:t>
      </w:r>
      <w:r w:rsidRPr="00044DE7">
        <w:rPr>
          <w:lang w:eastAsia="en-US"/>
        </w:rPr>
        <w:t xml:space="preserve"> – Enables long-range adaptability and progress toward beneficial outcomes</w:t>
      </w:r>
    </w:p>
    <w:p w14:paraId="66AE68C7" w14:textId="77777777" w:rsidR="00044DE7" w:rsidRPr="00044DE7" w:rsidRDefault="00044DE7" w:rsidP="00044DE7">
      <w:pPr>
        <w:pStyle w:val="ListParagraph"/>
        <w:numPr>
          <w:ilvl w:val="0"/>
          <w:numId w:val="81"/>
        </w:numPr>
        <w:rPr>
          <w:lang w:eastAsia="en-US"/>
        </w:rPr>
      </w:pPr>
      <w:r w:rsidRPr="00044DE7">
        <w:rPr>
          <w:b/>
          <w:bCs/>
          <w:lang w:eastAsia="en-US"/>
        </w:rPr>
        <w:t>Sustainability</w:t>
      </w:r>
      <w:r w:rsidRPr="00044DE7">
        <w:rPr>
          <w:lang w:eastAsia="en-US"/>
        </w:rPr>
        <w:t xml:space="preserve"> – Ensures long-term system resilience and environmental/social viability</w:t>
      </w:r>
    </w:p>
    <w:p w14:paraId="1D8D3744" w14:textId="77777777" w:rsidR="00044DE7" w:rsidRPr="00044DE7" w:rsidRDefault="00044DE7" w:rsidP="00044DE7">
      <w:pPr>
        <w:pStyle w:val="Heading2"/>
      </w:pPr>
      <w:r w:rsidRPr="00044DE7">
        <w:t>Conditional Values</w:t>
      </w:r>
    </w:p>
    <w:p w14:paraId="74BBA155" w14:textId="0405355A" w:rsidR="006554FF" w:rsidRPr="006554FF" w:rsidRDefault="006554FF" w:rsidP="006554FF">
      <w:pPr>
        <w:pStyle w:val="ListParagraph"/>
        <w:numPr>
          <w:ilvl w:val="0"/>
          <w:numId w:val="81"/>
        </w:numPr>
        <w:rPr>
          <w:lang w:eastAsia="en-US"/>
        </w:rPr>
      </w:pPr>
      <w:r w:rsidRPr="006554FF">
        <w:rPr>
          <w:b/>
          <w:bCs/>
          <w:lang w:eastAsia="en-US"/>
        </w:rPr>
        <w:t>Accountability</w:t>
      </w:r>
      <w:r w:rsidRPr="006554FF">
        <w:rPr>
          <w:lang w:eastAsia="en-US"/>
        </w:rPr>
        <w:t xml:space="preserve"> – Enables enforcement, traceability, and ethical </w:t>
      </w:r>
      <w:r w:rsidR="00E63E19" w:rsidRPr="006554FF">
        <w:rPr>
          <w:lang w:eastAsia="en-US"/>
        </w:rPr>
        <w:t>audits,</w:t>
      </w:r>
      <w:r w:rsidRPr="006554FF">
        <w:rPr>
          <w:lang w:eastAsia="en-US"/>
        </w:rPr>
        <w:t xml:space="preserve"> highly dependent on institutional capacity and legal culture.</w:t>
      </w:r>
    </w:p>
    <w:p w14:paraId="5D294193" w14:textId="77777777" w:rsidR="006554FF" w:rsidRPr="006554FF" w:rsidRDefault="006554FF" w:rsidP="006554FF">
      <w:pPr>
        <w:pStyle w:val="ListParagraph"/>
        <w:numPr>
          <w:ilvl w:val="0"/>
          <w:numId w:val="81"/>
        </w:numPr>
        <w:rPr>
          <w:lang w:eastAsia="en-US"/>
        </w:rPr>
      </w:pPr>
      <w:r w:rsidRPr="006554FF">
        <w:rPr>
          <w:b/>
          <w:bCs/>
          <w:lang w:eastAsia="en-US"/>
        </w:rPr>
        <w:t>Autonomy</w:t>
      </w:r>
      <w:r w:rsidRPr="006554FF">
        <w:rPr>
          <w:lang w:eastAsia="en-US"/>
        </w:rPr>
        <w:t xml:space="preserve"> – Critical in domains involving consent, freedom, or human agency; varies in priority across medical, legal, and social domains.</w:t>
      </w:r>
    </w:p>
    <w:p w14:paraId="57A14B13" w14:textId="61367EEE" w:rsidR="006554FF" w:rsidRDefault="006554FF" w:rsidP="006554FF">
      <w:pPr>
        <w:pStyle w:val="ListParagraph"/>
        <w:numPr>
          <w:ilvl w:val="0"/>
          <w:numId w:val="81"/>
        </w:numPr>
        <w:rPr>
          <w:lang w:eastAsia="en-US"/>
        </w:rPr>
      </w:pPr>
      <w:r w:rsidRPr="006554FF">
        <w:rPr>
          <w:b/>
          <w:bCs/>
          <w:lang w:eastAsia="en-US"/>
        </w:rPr>
        <w:lastRenderedPageBreak/>
        <w:t>Inclusivity</w:t>
      </w:r>
      <w:r w:rsidRPr="006554FF">
        <w:rPr>
          <w:lang w:eastAsia="en-US"/>
        </w:rPr>
        <w:t xml:space="preserve"> – </w:t>
      </w:r>
      <w:r>
        <w:rPr>
          <w:lang w:eastAsia="en-US"/>
        </w:rPr>
        <w:t xml:space="preserve">Accountability – Enables enforcement, traceability, and ethical </w:t>
      </w:r>
      <w:r w:rsidR="00E63E19">
        <w:rPr>
          <w:lang w:eastAsia="en-US"/>
        </w:rPr>
        <w:t>audits,</w:t>
      </w:r>
      <w:r>
        <w:rPr>
          <w:lang w:eastAsia="en-US"/>
        </w:rPr>
        <w:t xml:space="preserve"> highly dependent on institutional capacity and legal culture.</w:t>
      </w:r>
    </w:p>
    <w:p w14:paraId="3D43E54D" w14:textId="77777777" w:rsidR="006554FF" w:rsidRPr="006554FF" w:rsidRDefault="006554FF" w:rsidP="006554FF">
      <w:pPr>
        <w:pStyle w:val="ListParagraph"/>
        <w:numPr>
          <w:ilvl w:val="0"/>
          <w:numId w:val="81"/>
        </w:numPr>
        <w:rPr>
          <w:lang w:eastAsia="en-US"/>
        </w:rPr>
      </w:pPr>
      <w:r w:rsidRPr="006554FF">
        <w:rPr>
          <w:b/>
          <w:bCs/>
          <w:lang w:eastAsia="en-US"/>
        </w:rPr>
        <w:t>Privacy</w:t>
      </w:r>
      <w:r w:rsidRPr="006554FF">
        <w:rPr>
          <w:lang w:eastAsia="en-US"/>
        </w:rPr>
        <w:t xml:space="preserve"> – Context-sensitive value central to rights, identity, and power dynamics; especially critical in surveillance, biometric, and data-driven systems.</w:t>
      </w:r>
    </w:p>
    <w:p w14:paraId="27CA6D6A" w14:textId="1679E96C" w:rsidR="00D85BA1" w:rsidRPr="00B258E6" w:rsidRDefault="006554FF" w:rsidP="006554FF">
      <w:pPr>
        <w:rPr>
          <w:lang w:eastAsia="en-US"/>
        </w:rPr>
      </w:pPr>
      <w:r>
        <w:rPr>
          <w:lang w:eastAsia="en-US"/>
        </w:rPr>
        <w:t>This expanded view integrates values such as Beneficence, Innovation, and Autonomy, reflecting their increased semantic prominence and policy emergence between 2022 and 2025.</w:t>
      </w:r>
    </w:p>
    <w:p w14:paraId="7BE523D3" w14:textId="77777777" w:rsidR="00D85BA1" w:rsidRPr="00D85BA1" w:rsidRDefault="00B258E6" w:rsidP="00D85BA1">
      <w:pPr>
        <w:pStyle w:val="Heading1"/>
        <w:rPr>
          <w:rStyle w:val="Heading1Char"/>
          <w:b/>
        </w:rPr>
      </w:pPr>
      <w:r w:rsidRPr="00D85BA1">
        <w:rPr>
          <w:rStyle w:val="Heading1Char"/>
          <w:b/>
        </w:rPr>
        <w:t>Case Illustration: Sustainability</w:t>
      </w:r>
    </w:p>
    <w:p w14:paraId="6A29A0F3" w14:textId="6F1F9001" w:rsidR="00B258E6" w:rsidRPr="00B258E6" w:rsidRDefault="00B258E6" w:rsidP="00D85BA1">
      <w:pPr>
        <w:rPr>
          <w:rFonts w:eastAsia="Times New Roman"/>
          <w:lang w:eastAsia="en-US"/>
          <w14:ligatures w14:val="none"/>
        </w:rPr>
      </w:pPr>
      <w:r w:rsidRPr="00B258E6">
        <w:rPr>
          <w:rFonts w:eastAsia="Times New Roman"/>
          <w:lang w:eastAsia="en-US"/>
          <w14:ligatures w14:val="none"/>
        </w:rPr>
        <w:t>Composite Score: 1.07</w:t>
      </w:r>
      <w:r w:rsidR="00D85BA1">
        <w:rPr>
          <w:rFonts w:eastAsia="Times New Roman"/>
          <w:lang w:eastAsia="en-US"/>
          <w14:ligatures w14:val="none"/>
        </w:rPr>
        <w:t xml:space="preserve">. </w:t>
      </w:r>
      <w:r w:rsidRPr="00B258E6">
        <w:rPr>
          <w:lang w:eastAsia="en-US"/>
        </w:rPr>
        <w:t xml:space="preserve">A value such as Sustainability demonstrated stable but moderate frequency. However, sector-weighted contributions and contextual salience elevated </w:t>
      </w:r>
      <w:r w:rsidR="00E63E19" w:rsidRPr="00B258E6">
        <w:rPr>
          <w:lang w:eastAsia="en-US"/>
        </w:rPr>
        <w:t>their</w:t>
      </w:r>
      <w:r w:rsidRPr="00B258E6">
        <w:rPr>
          <w:lang w:eastAsia="en-US"/>
        </w:rPr>
        <w:t xml:space="preserve"> overall impact. Example: UNESCO’s 2022 report AI for Climate Resilience in Emerging Economies triggered multiple context multipliers, contributing 0.092 to Sustainability’s total CVS</w:t>
      </w:r>
      <w:r w:rsidR="00AF008F">
        <w:rPr>
          <w:lang w:eastAsia="en-US"/>
        </w:rPr>
        <w:t xml:space="preserve"> </w:t>
      </w:r>
      <w:sdt>
        <w:sdtPr>
          <w:rPr>
            <w:lang w:eastAsia="en-US"/>
          </w:rPr>
          <w:id w:val="-1082753290"/>
          <w:citation/>
        </w:sdtPr>
        <w:sdtContent>
          <w:r w:rsidR="00AF008F">
            <w:rPr>
              <w:lang w:eastAsia="en-US"/>
            </w:rPr>
            <w:fldChar w:fldCharType="begin"/>
          </w:r>
          <w:r w:rsidR="00AF008F">
            <w:rPr>
              <w:lang w:eastAsia="en-US"/>
            </w:rPr>
            <w:instrText xml:space="preserve"> CITATION UNE22 \l 1033 </w:instrText>
          </w:r>
          <w:r w:rsidR="00AF008F">
            <w:rPr>
              <w:lang w:eastAsia="en-US"/>
            </w:rPr>
            <w:fldChar w:fldCharType="separate"/>
          </w:r>
          <w:r w:rsidR="00AF008F">
            <w:rPr>
              <w:noProof/>
              <w:lang w:eastAsia="en-US"/>
            </w:rPr>
            <w:t>(UNESCO, 2022)</w:t>
          </w:r>
          <w:r w:rsidR="00AF008F">
            <w:rPr>
              <w:lang w:eastAsia="en-US"/>
            </w:rPr>
            <w:fldChar w:fldCharType="end"/>
          </w:r>
        </w:sdtContent>
      </w:sdt>
      <w:r w:rsidRPr="00B258E6">
        <w:rPr>
          <w:lang w:eastAsia="en-US"/>
        </w:rPr>
        <w:t>.</w:t>
      </w:r>
      <w:r w:rsidR="00B923CE">
        <w:rPr>
          <w:lang w:eastAsia="en-US"/>
        </w:rPr>
        <w:t xml:space="preserve"> </w:t>
      </w:r>
      <w:r w:rsidR="00B923CE" w:rsidRPr="00B923CE">
        <w:rPr>
          <w:lang w:eastAsia="en-US"/>
        </w:rPr>
        <w:t>This illustrates Sustainability’s dual function—not only as a policy-anchored ethical imperative, but as an instrumental design principle essential for building adaptive, long-term AI infrastructures.</w:t>
      </w:r>
    </w:p>
    <w:p w14:paraId="5A107845" w14:textId="77777777" w:rsidR="00B258E6" w:rsidRPr="00B258E6" w:rsidRDefault="00B258E6" w:rsidP="00D85BA1">
      <w:pPr>
        <w:rPr>
          <w:rFonts w:eastAsia="Times New Roman"/>
          <w:lang w:eastAsia="en-US"/>
          <w14:ligatures w14:val="none"/>
        </w:rPr>
      </w:pPr>
      <w:r w:rsidRPr="00B258E6">
        <w:rPr>
          <w:rFonts w:eastAsia="Times New Roman"/>
          <w:lang w:eastAsia="en-US"/>
          <w14:ligatures w14:val="none"/>
        </w:rPr>
        <w:t>Interpretation: Sustainability does not dominate in raw frequency but exhibits strategic ethical relevance in infrastructure and long-term systems design.</w:t>
      </w:r>
    </w:p>
    <w:p w14:paraId="00760D67" w14:textId="77777777" w:rsidR="00B542B3" w:rsidRPr="00B542B3" w:rsidRDefault="00B542B3" w:rsidP="00B542B3">
      <w:pPr>
        <w:pStyle w:val="Heading1"/>
        <w:rPr>
          <w:lang w:eastAsia="en-US"/>
        </w:rPr>
      </w:pPr>
      <w:r w:rsidRPr="00B542B3">
        <w:rPr>
          <w:lang w:eastAsia="en-US"/>
        </w:rPr>
        <w:t>Toward an Ethical Salience Tracker (EST)</w:t>
      </w:r>
    </w:p>
    <w:p w14:paraId="4BECD78C" w14:textId="77777777" w:rsidR="00B542B3" w:rsidRPr="00B542B3" w:rsidRDefault="00B542B3" w:rsidP="00B542B3">
      <w:pPr>
        <w:rPr>
          <w:lang w:eastAsia="en-US"/>
        </w:rPr>
      </w:pPr>
      <w:r w:rsidRPr="00B542B3">
        <w:rPr>
          <w:lang w:eastAsia="en-US"/>
        </w:rPr>
        <w:t>To account for change over time, we introduce an Ethical Salience Tracker (EST)—a temporal recalibration model that continuously updates the relative weight of canonical values as the AI ethics landscape evolves. This framework recognizes that ethical priorities are not static; they shift in response to political climates, social movements, and emerging technologies.</w:t>
      </w:r>
    </w:p>
    <w:p w14:paraId="5815F95D" w14:textId="77777777" w:rsidR="00B542B3" w:rsidRPr="00B542B3" w:rsidRDefault="00B542B3" w:rsidP="00B542B3">
      <w:pPr>
        <w:rPr>
          <w:lang w:eastAsia="en-US"/>
        </w:rPr>
      </w:pPr>
      <w:r w:rsidRPr="00B542B3">
        <w:rPr>
          <w:lang w:eastAsia="en-US"/>
        </w:rPr>
        <w:lastRenderedPageBreak/>
        <w:t>The EST operates by monitoring three primary drivers:</w:t>
      </w:r>
    </w:p>
    <w:p w14:paraId="5E0C527B" w14:textId="77777777" w:rsidR="00B542B3" w:rsidRPr="00B542B3" w:rsidRDefault="00B542B3" w:rsidP="00B542B3">
      <w:pPr>
        <w:pStyle w:val="ListParagraph"/>
        <w:numPr>
          <w:ilvl w:val="0"/>
          <w:numId w:val="77"/>
        </w:numPr>
        <w:rPr>
          <w:lang w:eastAsia="en-US"/>
        </w:rPr>
      </w:pPr>
      <w:r w:rsidRPr="00B542B3">
        <w:rPr>
          <w:lang w:eastAsia="en-US"/>
        </w:rPr>
        <w:t>New legislation that elevates or constrains the prominence of specific values (e.g., privacy under GDPR, transparency under the EU AI Act)</w:t>
      </w:r>
    </w:p>
    <w:p w14:paraId="19C50F87" w14:textId="77777777" w:rsidR="00B542B3" w:rsidRPr="00B542B3" w:rsidRDefault="00B542B3" w:rsidP="00B542B3">
      <w:pPr>
        <w:pStyle w:val="ListParagraph"/>
        <w:numPr>
          <w:ilvl w:val="0"/>
          <w:numId w:val="77"/>
        </w:numPr>
        <w:rPr>
          <w:lang w:eastAsia="en-US"/>
        </w:rPr>
      </w:pPr>
      <w:r w:rsidRPr="00B542B3">
        <w:rPr>
          <w:lang w:eastAsia="en-US"/>
        </w:rPr>
        <w:t>Semantic drift and emergent topics, such as the rising moral discourse around synthetic media, AI-generated personas, or digital sentience</w:t>
      </w:r>
    </w:p>
    <w:p w14:paraId="37F17586" w14:textId="0F9B4A56" w:rsidR="00B542B3" w:rsidRPr="00B542B3" w:rsidRDefault="00E63E19" w:rsidP="00B542B3">
      <w:pPr>
        <w:pStyle w:val="ListParagraph"/>
        <w:numPr>
          <w:ilvl w:val="0"/>
          <w:numId w:val="77"/>
        </w:numPr>
        <w:rPr>
          <w:lang w:eastAsia="en-US"/>
        </w:rPr>
      </w:pPr>
      <w:r w:rsidRPr="00E63E19">
        <w:rPr>
          <w:lang w:eastAsia="en-US"/>
        </w:rPr>
        <w:t>Sectoral discourse trends, which may amplify values like accountability in finance or fairness and trust in sports science—particularly as performance metrics, biometric monitoring, and team-based decision systems raise new ethical considerations in competitive and institutional settings</w:t>
      </w:r>
    </w:p>
    <w:p w14:paraId="45367A75" w14:textId="3314CFA7" w:rsidR="00B542B3" w:rsidRPr="00B542B3" w:rsidRDefault="00B542B3" w:rsidP="00B542B3">
      <w:pPr>
        <w:rPr>
          <w:lang w:eastAsia="en-US"/>
        </w:rPr>
      </w:pPr>
      <w:r w:rsidRPr="00B542B3">
        <w:rPr>
          <w:lang w:eastAsia="en-US"/>
        </w:rPr>
        <w:t>Each value is modeled like a moral signal, with ethical salience rising or falling over time. To capture this dynamism, we assign Ethical Volatility Metrics (EVMs) to each value, tracking fluctuations across documents, jurisdictions, and stakeholder communities. This structure allows AI governance to remain ethically grounded yet responsive recalibrating its core value set as societal priorities shift.</w:t>
      </w:r>
    </w:p>
    <w:p w14:paraId="5604C01B" w14:textId="77777777" w:rsidR="00B542B3" w:rsidRPr="00B542B3" w:rsidRDefault="00B542B3" w:rsidP="00B542B3">
      <w:pPr>
        <w:rPr>
          <w:lang w:eastAsia="en-US"/>
        </w:rPr>
      </w:pPr>
      <w:r w:rsidRPr="00B542B3">
        <w:rPr>
          <w:lang w:eastAsia="en-US"/>
        </w:rPr>
        <w:t>The EST model ensures that the AI Moral Code remains a living framework—empirically anchored, philosophically coherent, and adaptable to new ethical pressures without abandoning its foundational commitments.</w:t>
      </w:r>
    </w:p>
    <w:p w14:paraId="2C66CF19" w14:textId="77777777" w:rsidR="00D85BA1" w:rsidRDefault="00B258E6" w:rsidP="00D85BA1">
      <w:pPr>
        <w:pStyle w:val="Heading1"/>
        <w:rPr>
          <w:lang w:eastAsia="en-US"/>
        </w:rPr>
      </w:pPr>
      <w:r w:rsidRPr="00B258E6">
        <w:rPr>
          <w:lang w:eastAsia="en-US"/>
        </w:rPr>
        <w:t>Conclusion</w:t>
      </w:r>
    </w:p>
    <w:p w14:paraId="3D994DBB" w14:textId="3B073F29" w:rsidR="00D85BA1" w:rsidRDefault="00B258E6" w:rsidP="00D85BA1">
      <w:pPr>
        <w:rPr>
          <w:lang w:eastAsia="en-US"/>
        </w:rPr>
      </w:pPr>
      <w:r w:rsidRPr="00B258E6">
        <w:rPr>
          <w:lang w:eastAsia="en-US"/>
        </w:rPr>
        <w:t>This refined derivation of the AI Moral Code’s canonical values offers a repeatable, data-grounded framework for ethical alignment. By situating the values within a stratified, sector-aware semantic scaffold—and validating them through philosophical and statistical rigor—this list forms the ethical DNA for value-centric AI.</w:t>
      </w:r>
      <w:r w:rsidR="00B923CE" w:rsidRPr="00B923CE">
        <w:t xml:space="preserve"> </w:t>
      </w:r>
      <w:r w:rsidR="00B923CE" w:rsidRPr="00B923CE">
        <w:rPr>
          <w:lang w:eastAsia="en-US"/>
        </w:rPr>
        <w:t xml:space="preserve">As AI systems increasingly govern high-stakes </w:t>
      </w:r>
      <w:r w:rsidR="00B923CE" w:rsidRPr="00B923CE">
        <w:rPr>
          <w:lang w:eastAsia="en-US"/>
        </w:rPr>
        <w:lastRenderedPageBreak/>
        <w:t>environments, this refined canonical set provides a dynamic yet stable foundation for ethics-by-design. Future iterations of the AI Moral Code will continue to track semantic drift and contextual realignment, ensuring ethical fidelity in rapidly evolving domains.</w:t>
      </w:r>
    </w:p>
    <w:p w14:paraId="08A65A2F" w14:textId="49362795" w:rsidR="00B258E6" w:rsidRPr="00B258E6" w:rsidRDefault="00B258E6" w:rsidP="00D85BA1">
      <w:pPr>
        <w:pStyle w:val="Heading1"/>
        <w:rPr>
          <w:lang w:eastAsia="en-US"/>
        </w:rPr>
      </w:pPr>
      <w:r w:rsidRPr="00B258E6">
        <w:rPr>
          <w:lang w:eastAsia="en-US"/>
        </w:rPr>
        <w:t>Appendices (available upon request):</w:t>
      </w:r>
    </w:p>
    <w:p w14:paraId="70DE82E8" w14:textId="77777777" w:rsidR="00B258E6" w:rsidRPr="00B258E6" w:rsidRDefault="00B258E6" w:rsidP="00B258E6">
      <w:pPr>
        <w:numPr>
          <w:ilvl w:val="0"/>
          <w:numId w:val="62"/>
        </w:numPr>
        <w:spacing w:before="100" w:beforeAutospacing="1" w:after="100" w:afterAutospacing="1" w:line="240" w:lineRule="auto"/>
        <w:rPr>
          <w:rFonts w:eastAsia="Times New Roman"/>
          <w:lang w:eastAsia="en-US"/>
          <w14:ligatures w14:val="none"/>
        </w:rPr>
      </w:pPr>
      <w:r w:rsidRPr="00B258E6">
        <w:rPr>
          <w:rFonts w:eastAsia="Times New Roman"/>
          <w:lang w:eastAsia="en-US"/>
          <w14:ligatures w14:val="none"/>
        </w:rPr>
        <w:t>Value Cognate Lists</w:t>
      </w:r>
    </w:p>
    <w:p w14:paraId="2350E336" w14:textId="77777777" w:rsidR="00B258E6" w:rsidRPr="00B258E6" w:rsidRDefault="00B258E6" w:rsidP="00B258E6">
      <w:pPr>
        <w:numPr>
          <w:ilvl w:val="0"/>
          <w:numId w:val="62"/>
        </w:numPr>
        <w:spacing w:before="100" w:beforeAutospacing="1" w:after="100" w:afterAutospacing="1" w:line="240" w:lineRule="auto"/>
        <w:rPr>
          <w:rFonts w:eastAsia="Times New Roman"/>
          <w:lang w:eastAsia="en-US"/>
          <w14:ligatures w14:val="none"/>
        </w:rPr>
      </w:pPr>
      <w:r w:rsidRPr="00B258E6">
        <w:rPr>
          <w:rFonts w:eastAsia="Times New Roman"/>
          <w:lang w:eastAsia="en-US"/>
          <w14:ligatures w14:val="none"/>
        </w:rPr>
        <w:t>Raw TF-IDF Tables</w:t>
      </w:r>
    </w:p>
    <w:p w14:paraId="71295BDE" w14:textId="77777777" w:rsidR="00B258E6" w:rsidRPr="00B258E6" w:rsidRDefault="00B258E6" w:rsidP="00B258E6">
      <w:pPr>
        <w:numPr>
          <w:ilvl w:val="0"/>
          <w:numId w:val="62"/>
        </w:numPr>
        <w:spacing w:before="100" w:beforeAutospacing="1" w:after="100" w:afterAutospacing="1" w:line="240" w:lineRule="auto"/>
        <w:rPr>
          <w:rFonts w:eastAsia="Times New Roman"/>
          <w:lang w:eastAsia="en-US"/>
          <w14:ligatures w14:val="none"/>
        </w:rPr>
      </w:pPr>
      <w:r w:rsidRPr="00B258E6">
        <w:rPr>
          <w:rFonts w:eastAsia="Times New Roman"/>
          <w:lang w:eastAsia="en-US"/>
          <w14:ligatures w14:val="none"/>
        </w:rPr>
        <w:t>CVS Scripts (Python)</w:t>
      </w:r>
    </w:p>
    <w:p w14:paraId="5AB637E7" w14:textId="77777777" w:rsidR="00B258E6" w:rsidRPr="00B258E6" w:rsidRDefault="00B258E6" w:rsidP="00B258E6">
      <w:pPr>
        <w:numPr>
          <w:ilvl w:val="0"/>
          <w:numId w:val="62"/>
        </w:numPr>
        <w:spacing w:before="100" w:beforeAutospacing="1" w:after="100" w:afterAutospacing="1" w:line="240" w:lineRule="auto"/>
        <w:rPr>
          <w:rFonts w:eastAsia="Times New Roman"/>
          <w:lang w:eastAsia="en-US"/>
          <w14:ligatures w14:val="none"/>
        </w:rPr>
      </w:pPr>
      <w:r w:rsidRPr="00B258E6">
        <w:rPr>
          <w:rFonts w:eastAsia="Times New Roman"/>
          <w:lang w:eastAsia="en-US"/>
          <w14:ligatures w14:val="none"/>
        </w:rPr>
        <w:t>Sectoral Normalization Models</w:t>
      </w:r>
    </w:p>
    <w:p w14:paraId="1B8B7442" w14:textId="77777777" w:rsidR="00B258E6" w:rsidRPr="00B258E6" w:rsidRDefault="00B258E6" w:rsidP="00B258E6">
      <w:pPr>
        <w:numPr>
          <w:ilvl w:val="0"/>
          <w:numId w:val="62"/>
        </w:numPr>
        <w:spacing w:before="100" w:beforeAutospacing="1" w:after="100" w:afterAutospacing="1" w:line="240" w:lineRule="auto"/>
        <w:rPr>
          <w:rFonts w:eastAsia="Times New Roman"/>
          <w:lang w:eastAsia="en-US"/>
          <w14:ligatures w14:val="none"/>
        </w:rPr>
      </w:pPr>
      <w:r w:rsidRPr="00B258E6">
        <w:rPr>
          <w:rFonts w:eastAsia="Times New Roman"/>
          <w:lang w:eastAsia="en-US"/>
          <w14:ligatures w14:val="none"/>
        </w:rPr>
        <w:t>Volatility Snapshots (2018–2025)</w:t>
      </w:r>
    </w:p>
    <w:p w14:paraId="4FF7CB90" w14:textId="77777777" w:rsidR="00B258E6" w:rsidRPr="00B258E6" w:rsidRDefault="00B258E6" w:rsidP="00B258E6">
      <w:pPr>
        <w:numPr>
          <w:ilvl w:val="0"/>
          <w:numId w:val="62"/>
        </w:numPr>
        <w:spacing w:before="100" w:beforeAutospacing="1" w:after="100" w:afterAutospacing="1" w:line="240" w:lineRule="auto"/>
        <w:rPr>
          <w:rFonts w:eastAsia="Times New Roman"/>
          <w:lang w:eastAsia="en-US"/>
          <w14:ligatures w14:val="none"/>
        </w:rPr>
      </w:pPr>
      <w:r w:rsidRPr="00B258E6">
        <w:rPr>
          <w:rFonts w:eastAsia="Times New Roman"/>
          <w:lang w:eastAsia="en-US"/>
          <w14:ligatures w14:val="none"/>
        </w:rPr>
        <w:t>Old vs. New Canonical Rankings Table</w:t>
      </w:r>
    </w:p>
    <w:p w14:paraId="39F266BA" w14:textId="77777777" w:rsidR="00E63E19" w:rsidRDefault="00E63E19">
      <w:pPr>
        <w:spacing w:before="240" w:after="240" w:line="240" w:lineRule="auto"/>
        <w:ind w:firstLine="0"/>
        <w:rPr>
          <w:b/>
          <w:szCs w:val="32"/>
        </w:rPr>
      </w:pPr>
      <w:r>
        <w:br w:type="page"/>
      </w:r>
    </w:p>
    <w:sdt>
      <w:sdtPr>
        <w:rPr>
          <w:b w:val="0"/>
          <w:szCs w:val="24"/>
        </w:rPr>
        <w:id w:val="-80144781"/>
        <w:docPartObj>
          <w:docPartGallery w:val="Bibliographies"/>
          <w:docPartUnique/>
        </w:docPartObj>
      </w:sdtPr>
      <w:sdtContent>
        <w:p w14:paraId="07D3AF12" w14:textId="25BF60D4" w:rsidR="00E63E19" w:rsidRDefault="00E63E19">
          <w:pPr>
            <w:pStyle w:val="Heading1"/>
          </w:pPr>
          <w:r>
            <w:t>References</w:t>
          </w:r>
        </w:p>
        <w:sdt>
          <w:sdtPr>
            <w:id w:val="-573587230"/>
            <w:bibliography/>
          </w:sdtPr>
          <w:sdtContent>
            <w:p w14:paraId="37697F88" w14:textId="77777777" w:rsidR="006A3C63" w:rsidRDefault="00E63E19" w:rsidP="006A3C63">
              <w:pPr>
                <w:pStyle w:val="Bibliography"/>
                <w:ind w:left="720" w:hanging="720"/>
                <w:rPr>
                  <w:noProof/>
                  <w14:ligatures w14:val="none"/>
                </w:rPr>
              </w:pPr>
              <w:r>
                <w:fldChar w:fldCharType="begin"/>
              </w:r>
              <w:r>
                <w:instrText xml:space="preserve"> BIBLIOGRAPHY </w:instrText>
              </w:r>
              <w:r>
                <w:fldChar w:fldCharType="separate"/>
              </w:r>
              <w:r w:rsidR="006A3C63">
                <w:rPr>
                  <w:noProof/>
                </w:rPr>
                <w:t xml:space="preserve">Access Now. (2018, November). </w:t>
              </w:r>
              <w:r w:rsidR="006A3C63">
                <w:rPr>
                  <w:i/>
                  <w:iCs/>
                  <w:noProof/>
                </w:rPr>
                <w:t>Human Rights in the Age of Artificial Intelligence</w:t>
              </w:r>
              <w:r w:rsidR="006A3C63">
                <w:rPr>
                  <w:noProof/>
                </w:rPr>
                <w:t>. Retrieved from Access Now: https://www.accessnow.org/wp-content/uploads/2018/11/AI-and-Human-Rights.pdf</w:t>
              </w:r>
            </w:p>
            <w:p w14:paraId="654E4CA3" w14:textId="77777777" w:rsidR="006A3C63" w:rsidRDefault="006A3C63" w:rsidP="006A3C63">
              <w:pPr>
                <w:pStyle w:val="Bibliography"/>
                <w:ind w:left="720" w:hanging="720"/>
                <w:rPr>
                  <w:noProof/>
                </w:rPr>
              </w:pPr>
              <w:r>
                <w:rPr>
                  <w:noProof/>
                </w:rPr>
                <w:t xml:space="preserve">Bernstein, S. (2011). Legitimacy in intergovernmental and non-state global governance. </w:t>
              </w:r>
              <w:r>
                <w:rPr>
                  <w:i/>
                  <w:iCs/>
                  <w:noProof/>
                </w:rPr>
                <w:t>Review of International Political Economy, 18</w:t>
              </w:r>
              <w:r>
                <w:rPr>
                  <w:noProof/>
                </w:rPr>
                <w:t>(1), 17-51.</w:t>
              </w:r>
            </w:p>
            <w:p w14:paraId="07DEE6F4" w14:textId="77777777" w:rsidR="006A3C63" w:rsidRDefault="006A3C63" w:rsidP="006A3C63">
              <w:pPr>
                <w:pStyle w:val="Bibliography"/>
                <w:ind w:left="720" w:hanging="720"/>
                <w:rPr>
                  <w:noProof/>
                </w:rPr>
              </w:pPr>
              <w:r>
                <w:rPr>
                  <w:noProof/>
                </w:rPr>
                <w:t xml:space="preserve">Bostrom, N. (2014). </w:t>
              </w:r>
              <w:r>
                <w:rPr>
                  <w:i/>
                  <w:iCs/>
                  <w:noProof/>
                </w:rPr>
                <w:t>Superintelligence: Paths, dangers, strategies.</w:t>
              </w:r>
              <w:r>
                <w:rPr>
                  <w:noProof/>
                </w:rPr>
                <w:t xml:space="preserve"> Oxford University Press.</w:t>
              </w:r>
            </w:p>
            <w:p w14:paraId="0D4EDB09" w14:textId="77777777" w:rsidR="006A3C63" w:rsidRDefault="006A3C63" w:rsidP="006A3C63">
              <w:pPr>
                <w:pStyle w:val="Bibliography"/>
                <w:ind w:left="720" w:hanging="720"/>
                <w:rPr>
                  <w:noProof/>
                </w:rPr>
              </w:pPr>
              <w:r>
                <w:rPr>
                  <w:noProof/>
                </w:rPr>
                <w:t xml:space="preserve">De Graff, G, Huberts, L., &amp; Smulders, R. (2016). Coping with public value conflicts. </w:t>
              </w:r>
              <w:r>
                <w:rPr>
                  <w:i/>
                  <w:iCs/>
                  <w:noProof/>
                </w:rPr>
                <w:t>Administration &amp; Society, 48</w:t>
              </w:r>
              <w:r>
                <w:rPr>
                  <w:noProof/>
                </w:rPr>
                <w:t>(9), 1101-1126.</w:t>
              </w:r>
            </w:p>
            <w:p w14:paraId="2535AB2F" w14:textId="77777777" w:rsidR="006A3C63" w:rsidRDefault="006A3C63" w:rsidP="006A3C63">
              <w:pPr>
                <w:pStyle w:val="Bibliography"/>
                <w:ind w:left="720" w:hanging="720"/>
                <w:rPr>
                  <w:noProof/>
                </w:rPr>
              </w:pPr>
              <w:r>
                <w:rPr>
                  <w:noProof/>
                </w:rPr>
                <w:t xml:space="preserve">European Commission. (2019, April 8). </w:t>
              </w:r>
              <w:r>
                <w:rPr>
                  <w:i/>
                  <w:iCs/>
                  <w:noProof/>
                </w:rPr>
                <w:t>Ethics Guidelines for Trustworthy AI</w:t>
              </w:r>
              <w:r>
                <w:rPr>
                  <w:noProof/>
                </w:rPr>
                <w:t>. Retrieved from European Commission: https://ec.europa.eu/newsroom/dae/document.cfm?doc_id=60419</w:t>
              </w:r>
            </w:p>
            <w:p w14:paraId="16F4E56C" w14:textId="77777777" w:rsidR="006A3C63" w:rsidRDefault="006A3C63" w:rsidP="006A3C63">
              <w:pPr>
                <w:pStyle w:val="Bibliography"/>
                <w:ind w:left="720" w:hanging="720"/>
                <w:rPr>
                  <w:noProof/>
                </w:rPr>
              </w:pPr>
              <w:r>
                <w:rPr>
                  <w:noProof/>
                </w:rPr>
                <w:t xml:space="preserve">European Union. (2016). </w:t>
              </w:r>
              <w:r>
                <w:rPr>
                  <w:i/>
                  <w:iCs/>
                  <w:noProof/>
                </w:rPr>
                <w:t>Regulation (EU) 2016/679 of the European Parliament and of the Council.</w:t>
              </w:r>
              <w:r>
                <w:rPr>
                  <w:noProof/>
                </w:rPr>
                <w:t xml:space="preserve"> Retrieved from https://eur-lex.europa.eu/eli/reg/2016/679/oj</w:t>
              </w:r>
            </w:p>
            <w:p w14:paraId="4C120E51" w14:textId="77777777" w:rsidR="006A3C63" w:rsidRDefault="006A3C63" w:rsidP="006A3C63">
              <w:pPr>
                <w:pStyle w:val="Bibliography"/>
                <w:ind w:left="720" w:hanging="720"/>
                <w:rPr>
                  <w:noProof/>
                </w:rPr>
              </w:pPr>
              <w:r>
                <w:rPr>
                  <w:noProof/>
                </w:rPr>
                <w:t xml:space="preserve">Floridi, L., &amp; Sanders, J. W. (2004). On the morality of artificial agents. </w:t>
              </w:r>
              <w:r>
                <w:rPr>
                  <w:i/>
                  <w:iCs/>
                  <w:noProof/>
                </w:rPr>
                <w:t>Minds and Machines, 14</w:t>
              </w:r>
              <w:r>
                <w:rPr>
                  <w:noProof/>
                </w:rPr>
                <w:t>(3), 349-379. Retrieved from https://doi.org/10.1023/B:MIND.0000035461.63578.9d</w:t>
              </w:r>
            </w:p>
            <w:p w14:paraId="6BBC0819" w14:textId="77777777" w:rsidR="006A3C63" w:rsidRDefault="006A3C63" w:rsidP="006A3C63">
              <w:pPr>
                <w:pStyle w:val="Bibliography"/>
                <w:ind w:left="720" w:hanging="720"/>
                <w:rPr>
                  <w:noProof/>
                </w:rPr>
              </w:pPr>
              <w:r w:rsidRPr="006A3C63">
                <w:rPr>
                  <w:noProof/>
                  <w:lang w:val="it-IT"/>
                </w:rPr>
                <w:t xml:space="preserve">Floridi, L., Cowls, J., Beltrametti, M., Chatila, R., Chazerand, P., Dignum, V., . . . </w:t>
              </w:r>
              <w:r>
                <w:rPr>
                  <w:noProof/>
                </w:rPr>
                <w:t xml:space="preserve">Vayena, E. (2018). AI4People--An ethical framework for a good AI society: Opportunities, risks, principles, and recommendations. </w:t>
              </w:r>
              <w:r>
                <w:rPr>
                  <w:i/>
                  <w:iCs/>
                  <w:noProof/>
                </w:rPr>
                <w:t>Minds and Machines, 28</w:t>
              </w:r>
              <w:r>
                <w:rPr>
                  <w:noProof/>
                </w:rPr>
                <w:t>(4), 689-707. doi:https://doi.org/10.1007/s11023-018-9482-5</w:t>
              </w:r>
            </w:p>
            <w:p w14:paraId="278F9CA5" w14:textId="77777777" w:rsidR="006A3C63" w:rsidRDefault="006A3C63" w:rsidP="006A3C63">
              <w:pPr>
                <w:pStyle w:val="Bibliography"/>
                <w:ind w:left="720" w:hanging="720"/>
                <w:rPr>
                  <w:noProof/>
                </w:rPr>
              </w:pPr>
              <w:r>
                <w:rPr>
                  <w:noProof/>
                </w:rPr>
                <w:t xml:space="preserve">Gabriel, I. (2020). Artificial intelligence, values, and alignment. </w:t>
              </w:r>
              <w:r>
                <w:rPr>
                  <w:i/>
                  <w:iCs/>
                  <w:noProof/>
                </w:rPr>
                <w:t>Minds and Machines, 30</w:t>
              </w:r>
              <w:r>
                <w:rPr>
                  <w:noProof/>
                </w:rPr>
                <w:t>(3), 1-24. doi:https://doi.org/10.1007/s11023-020-09539-2</w:t>
              </w:r>
            </w:p>
            <w:p w14:paraId="4B793FA1" w14:textId="77777777" w:rsidR="006A3C63" w:rsidRDefault="006A3C63" w:rsidP="006A3C63">
              <w:pPr>
                <w:pStyle w:val="Bibliography"/>
                <w:ind w:left="720" w:hanging="720"/>
                <w:rPr>
                  <w:noProof/>
                </w:rPr>
              </w:pPr>
              <w:r>
                <w:rPr>
                  <w:noProof/>
                </w:rPr>
                <w:lastRenderedPageBreak/>
                <w:t xml:space="preserve">Pichai, S. (2018, June 7). </w:t>
              </w:r>
              <w:r>
                <w:rPr>
                  <w:i/>
                  <w:iCs/>
                  <w:noProof/>
                </w:rPr>
                <w:t>AI at Google: Our principles</w:t>
              </w:r>
              <w:r>
                <w:rPr>
                  <w:noProof/>
                </w:rPr>
                <w:t>. Retrieved from Google: https://blog.google/technology/ai/ai-principles/</w:t>
              </w:r>
            </w:p>
            <w:p w14:paraId="058AED97" w14:textId="77777777" w:rsidR="006A3C63" w:rsidRDefault="006A3C63" w:rsidP="006A3C63">
              <w:pPr>
                <w:pStyle w:val="Bibliography"/>
                <w:ind w:left="720" w:hanging="720"/>
                <w:rPr>
                  <w:noProof/>
                </w:rPr>
              </w:pPr>
              <w:r>
                <w:rPr>
                  <w:noProof/>
                </w:rPr>
                <w:t xml:space="preserve">Pontifical Academy for Life. (2020, February 28). </w:t>
              </w:r>
              <w:r>
                <w:rPr>
                  <w:i/>
                  <w:iCs/>
                  <w:noProof/>
                </w:rPr>
                <w:t>Rome Call for AI Ethics</w:t>
              </w:r>
              <w:r>
                <w:rPr>
                  <w:noProof/>
                </w:rPr>
                <w:t>. Retrieved from Pontifical Academy for Life: https://www.academyforlife.va/content/dam/pav/documenti%20pdf/2020/Call%20for%20AI%20Ethics/Rome_Call_for_AI_Ethics.pdf</w:t>
              </w:r>
            </w:p>
            <w:p w14:paraId="3DC97520" w14:textId="77777777" w:rsidR="006A3C63" w:rsidRDefault="006A3C63" w:rsidP="006A3C63">
              <w:pPr>
                <w:pStyle w:val="Bibliography"/>
                <w:ind w:left="720" w:hanging="720"/>
                <w:rPr>
                  <w:noProof/>
                </w:rPr>
              </w:pPr>
              <w:r w:rsidRPr="006A3C63">
                <w:rPr>
                  <w:noProof/>
                  <w:lang w:val="it-IT"/>
                </w:rPr>
                <w:t xml:space="preserve">Risse, T., Ruggie, J. G., &amp; Zürn, M. (2013). </w:t>
              </w:r>
              <w:r>
                <w:rPr>
                  <w:noProof/>
                </w:rPr>
                <w:t xml:space="preserve">The rational design of international institutions. </w:t>
              </w:r>
              <w:r>
                <w:rPr>
                  <w:i/>
                  <w:iCs/>
                  <w:noProof/>
                </w:rPr>
                <w:t>International Organization, 67</w:t>
              </w:r>
              <w:r>
                <w:rPr>
                  <w:noProof/>
                </w:rPr>
                <w:t>(4), 611-624.</w:t>
              </w:r>
            </w:p>
            <w:p w14:paraId="749F1A19" w14:textId="77777777" w:rsidR="006A3C63" w:rsidRDefault="006A3C63" w:rsidP="006A3C63">
              <w:pPr>
                <w:pStyle w:val="Bibliography"/>
                <w:ind w:left="720" w:hanging="720"/>
                <w:rPr>
                  <w:noProof/>
                </w:rPr>
              </w:pPr>
              <w:r>
                <w:rPr>
                  <w:noProof/>
                </w:rPr>
                <w:t xml:space="preserve">Russell, S. (2019). </w:t>
              </w:r>
              <w:r>
                <w:rPr>
                  <w:i/>
                  <w:iCs/>
                  <w:noProof/>
                </w:rPr>
                <w:t>Human compatible: Artificial intelligence and the problem of control.</w:t>
              </w:r>
              <w:r>
                <w:rPr>
                  <w:noProof/>
                </w:rPr>
                <w:t xml:space="preserve"> Viking.</w:t>
              </w:r>
            </w:p>
            <w:p w14:paraId="16B92A3E" w14:textId="77777777" w:rsidR="006A3C63" w:rsidRDefault="006A3C63" w:rsidP="006A3C63">
              <w:pPr>
                <w:pStyle w:val="Bibliography"/>
                <w:ind w:left="720" w:hanging="720"/>
                <w:rPr>
                  <w:noProof/>
                </w:rPr>
              </w:pPr>
              <w:r>
                <w:rPr>
                  <w:noProof/>
                </w:rPr>
                <w:t xml:space="preserve">Suchman, M. C. (1995). Managing legitimacy: Strategic and institutional approaches. </w:t>
              </w:r>
              <w:r>
                <w:rPr>
                  <w:i/>
                  <w:iCs/>
                  <w:noProof/>
                </w:rPr>
                <w:t>Academy of Management Review, 20</w:t>
              </w:r>
              <w:r>
                <w:rPr>
                  <w:noProof/>
                </w:rPr>
                <w:t>(3), 571-610.</w:t>
              </w:r>
            </w:p>
            <w:p w14:paraId="58965B6C" w14:textId="77777777" w:rsidR="006A3C63" w:rsidRDefault="006A3C63" w:rsidP="006A3C63">
              <w:pPr>
                <w:pStyle w:val="Bibliography"/>
                <w:ind w:left="720" w:hanging="720"/>
                <w:rPr>
                  <w:noProof/>
                </w:rPr>
              </w:pPr>
              <w:r>
                <w:rPr>
                  <w:noProof/>
                </w:rPr>
                <w:t xml:space="preserve">UNESCO. (2022). </w:t>
              </w:r>
              <w:r>
                <w:rPr>
                  <w:i/>
                  <w:iCs/>
                  <w:noProof/>
                </w:rPr>
                <w:t>AI for climate resilience in emerging economies.</w:t>
              </w:r>
              <w:r>
                <w:rPr>
                  <w:noProof/>
                </w:rPr>
                <w:t xml:space="preserve"> Paris: UNESCO.</w:t>
              </w:r>
            </w:p>
            <w:p w14:paraId="1B3E2257" w14:textId="77777777" w:rsidR="006A3C63" w:rsidRDefault="006A3C63" w:rsidP="006A3C63">
              <w:pPr>
                <w:pStyle w:val="Bibliography"/>
                <w:ind w:left="720" w:hanging="720"/>
                <w:rPr>
                  <w:noProof/>
                </w:rPr>
              </w:pPr>
              <w:r>
                <w:rPr>
                  <w:noProof/>
                </w:rPr>
                <w:t xml:space="preserve">United Nations. (1948, December 10). </w:t>
              </w:r>
              <w:r>
                <w:rPr>
                  <w:i/>
                  <w:iCs/>
                  <w:noProof/>
                </w:rPr>
                <w:t>Universal Declaration of Human Rights</w:t>
              </w:r>
              <w:r>
                <w:rPr>
                  <w:noProof/>
                </w:rPr>
                <w:t>. Retrieved from https://www.un.org/en/about-us/universal-declaration-of-human-rights</w:t>
              </w:r>
            </w:p>
            <w:p w14:paraId="181907E0" w14:textId="44DB224B" w:rsidR="00EE2EFF" w:rsidRPr="00B258E6" w:rsidRDefault="00E63E19" w:rsidP="006A3C63">
              <w:r>
                <w:rPr>
                  <w:b/>
                  <w:bCs/>
                  <w:noProof/>
                </w:rPr>
                <w:fldChar w:fldCharType="end"/>
              </w:r>
            </w:p>
          </w:sdtContent>
        </w:sdt>
      </w:sdtContent>
    </w:sdt>
    <w:sectPr w:rsidR="00EE2EFF" w:rsidRPr="00B258E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65A57" w14:textId="77777777" w:rsidR="001952CA" w:rsidRDefault="001952CA" w:rsidP="00B258E6">
      <w:pPr>
        <w:spacing w:before="0" w:line="240" w:lineRule="auto"/>
      </w:pPr>
      <w:r>
        <w:separator/>
      </w:r>
    </w:p>
  </w:endnote>
  <w:endnote w:type="continuationSeparator" w:id="0">
    <w:p w14:paraId="58B7F99A" w14:textId="77777777" w:rsidR="001952CA" w:rsidRDefault="001952CA" w:rsidP="00B258E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Lucida Grande">
    <w:altName w:val="Segoe UI"/>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40B3" w14:textId="77777777" w:rsidR="00097E01" w:rsidRDefault="00097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7902" w14:textId="77777777" w:rsidR="00097E01" w:rsidRDefault="00097E01" w:rsidP="00097E01">
    <w:pPr>
      <w:pStyle w:val="NoSpacing"/>
    </w:pPr>
    <w:r>
      <w:t>This document is protected under U.S. and international copyright law. All rights reserved.</w:t>
    </w:r>
  </w:p>
  <w:p w14:paraId="2E16B33A" w14:textId="6B0E3B0A" w:rsidR="00097E01" w:rsidRDefault="00097E01" w:rsidP="00097E01">
    <w:pPr>
      <w:pStyle w:val="NoSpacing"/>
    </w:pPr>
    <w:r>
      <w:t>No part of this publication may be reproduced, distributed, or transmitted in any form without prior written permission of the author.</w:t>
    </w:r>
    <w:r>
      <w:t xml:space="preserve"> </w:t>
    </w:r>
    <w:r w:rsidRPr="00097E01">
      <w:t xml:space="preserve">For permissions or academic citations, contact: </w:t>
    </w:r>
    <w:r>
      <w:t>rhinrich</w:t>
    </w:r>
    <w:r w:rsidRPr="00097E01">
      <w:t>@norwich.edu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7230" w14:textId="77777777" w:rsidR="00097E01" w:rsidRDefault="00097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8AFC" w14:textId="77777777" w:rsidR="001952CA" w:rsidRDefault="001952CA" w:rsidP="00B258E6">
      <w:pPr>
        <w:spacing w:before="0" w:line="240" w:lineRule="auto"/>
      </w:pPr>
      <w:r>
        <w:separator/>
      </w:r>
    </w:p>
  </w:footnote>
  <w:footnote w:type="continuationSeparator" w:id="0">
    <w:p w14:paraId="51AE5B90" w14:textId="77777777" w:rsidR="001952CA" w:rsidRDefault="001952CA" w:rsidP="00B258E6">
      <w:pPr>
        <w:spacing w:before="0" w:line="240" w:lineRule="auto"/>
      </w:pPr>
      <w:r>
        <w:continuationSeparator/>
      </w:r>
    </w:p>
  </w:footnote>
  <w:footnote w:id="1">
    <w:p w14:paraId="495B88E5" w14:textId="7467FD70" w:rsidR="00B923CE" w:rsidRDefault="00B923CE">
      <w:pPr>
        <w:pStyle w:val="FootnoteText"/>
      </w:pPr>
      <w:r>
        <w:rPr>
          <w:rStyle w:val="FootnoteReference"/>
        </w:rPr>
        <w:footnoteRef/>
      </w:r>
      <w:r>
        <w:t xml:space="preserve"> </w:t>
      </w:r>
      <w:r w:rsidRPr="00B923CE">
        <w:t>Canonical, as used here, does not imply fixed or universal values, but those with consistent ethical relevance, frequency, and institutional recognition across 291+ AI ethics documents (2006–2025).</w:t>
      </w:r>
    </w:p>
  </w:footnote>
  <w:footnote w:id="2">
    <w:p w14:paraId="1A774DEF" w14:textId="35348172" w:rsidR="00B258E6" w:rsidRDefault="00B258E6">
      <w:pPr>
        <w:pStyle w:val="FootnoteText"/>
      </w:pPr>
      <w:r>
        <w:rPr>
          <w:rStyle w:val="FootnoteReference"/>
        </w:rPr>
        <w:footnoteRef/>
      </w:r>
      <w:r>
        <w:t xml:space="preserve"> The </w:t>
      </w:r>
      <w:r w:rsidR="00CA3B56">
        <w:t>Ethical Salience Tracker (EST</w:t>
      </w:r>
      <w:r>
        <w:t>) is a temporal recalibration model that quantifies the relative ethical salience of canonical AI values over time. It incorporates document frequency trends, sectoral weight shifts, and emerging thematic proximities to update value rankings dynamically, functioning analogously to a moral volatility index for AI governance.</w:t>
      </w:r>
    </w:p>
  </w:footnote>
  <w:footnote w:id="3">
    <w:p w14:paraId="016032A9" w14:textId="4E36F60E" w:rsidR="002233EC" w:rsidRDefault="002233EC">
      <w:pPr>
        <w:pStyle w:val="FootnoteText"/>
      </w:pPr>
      <w:r>
        <w:rPr>
          <w:rStyle w:val="FootnoteReference"/>
        </w:rPr>
        <w:footnoteRef/>
      </w:r>
      <w:r>
        <w:t xml:space="preserve"> </w:t>
      </w:r>
      <w:r w:rsidRPr="002233EC">
        <w:t xml:space="preserve">Legal taggers are natural language processing (NLP) tools or algorithms that identify and annotate legal concepts, statutes, and human rights principles within text, linking them to established legal frameworks such as the UDHR or GDPR. They ensure semantic alignment and regulatory traceability by mapping phrases to authoritative legal anchors or ontologies (e.g., European Legislation Identifier [ELI], LKIF, or </w:t>
      </w:r>
      <w:proofErr w:type="spellStart"/>
      <w:r w:rsidRPr="002233EC">
        <w:t>LegalRuleML</w:t>
      </w:r>
      <w:proofErr w:type="spellEnd"/>
      <w:r w:rsidRPr="002233EC">
        <w:t>)</w:t>
      </w:r>
      <w:r w:rsidR="00267226">
        <w:t xml:space="preserve"> </w:t>
      </w:r>
      <w:sdt>
        <w:sdtPr>
          <w:id w:val="1991132703"/>
          <w:citation/>
        </w:sdtPr>
        <w:sdtContent>
          <w:r w:rsidR="00267226">
            <w:fldChar w:fldCharType="begin"/>
          </w:r>
          <w:r w:rsidR="00267226">
            <w:instrText xml:space="preserve">CITATION IBM24 \m Bom \l 1033 </w:instrText>
          </w:r>
          <w:r w:rsidR="00267226">
            <w:fldChar w:fldCharType="separate"/>
          </w:r>
          <w:r w:rsidR="00267226">
            <w:rPr>
              <w:noProof/>
            </w:rPr>
            <w:t>(IBM, 2024; Bommarito II, Katz, &amp; Detterman, 2018)</w:t>
          </w:r>
          <w:r w:rsidR="00267226">
            <w:fldChar w:fldCharType="end"/>
          </w:r>
        </w:sdtContent>
      </w:sdt>
      <w:r w:rsidRPr="002233EC">
        <w:t>.</w:t>
      </w:r>
    </w:p>
  </w:footnote>
  <w:footnote w:id="4">
    <w:p w14:paraId="0408D788" w14:textId="7F05B030" w:rsidR="002A1EE1" w:rsidRDefault="002A1EE1">
      <w:pPr>
        <w:pStyle w:val="FootnoteText"/>
      </w:pPr>
      <w:r>
        <w:rPr>
          <w:rStyle w:val="FootnoteReference"/>
        </w:rPr>
        <w:footnoteRef/>
      </w:r>
      <w:r>
        <w:t xml:space="preserve"> TF = Term Frequency</w:t>
      </w:r>
    </w:p>
  </w:footnote>
  <w:footnote w:id="5">
    <w:p w14:paraId="2F1A030C" w14:textId="136E6943" w:rsidR="002A1EE1" w:rsidRDefault="002A1EE1">
      <w:pPr>
        <w:pStyle w:val="FootnoteText"/>
      </w:pPr>
      <w:r>
        <w:rPr>
          <w:rStyle w:val="FootnoteReference"/>
        </w:rPr>
        <w:footnoteRef/>
      </w:r>
      <w:r>
        <w:t>IDF = Inverse Document Frequency</w:t>
      </w:r>
      <w:r w:rsidRPr="002A1EE1">
        <w:t>.</w:t>
      </w:r>
    </w:p>
  </w:footnote>
  <w:footnote w:id="6">
    <w:p w14:paraId="6EE8DB23" w14:textId="432078EC" w:rsidR="002A1EE1" w:rsidRDefault="002A1EE1">
      <w:pPr>
        <w:pStyle w:val="FootnoteText"/>
      </w:pPr>
      <w:r>
        <w:rPr>
          <w:rStyle w:val="FootnoteReference"/>
        </w:rPr>
        <w:footnoteRef/>
      </w:r>
      <w:r>
        <w:t xml:space="preserve"> SWI = Sector Weight Index</w:t>
      </w:r>
    </w:p>
  </w:footnote>
  <w:footnote w:id="7">
    <w:p w14:paraId="56CAA463" w14:textId="37D4969C" w:rsidR="002A1EE1" w:rsidRDefault="002A1EE1">
      <w:pPr>
        <w:pStyle w:val="FootnoteText"/>
      </w:pPr>
      <w:r>
        <w:rPr>
          <w:rStyle w:val="FootnoteReference"/>
        </w:rPr>
        <w:footnoteRef/>
      </w:r>
      <w:r>
        <w:t xml:space="preserve"> CM = Contextual Multiplier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7939" w14:textId="77777777" w:rsidR="00097E01" w:rsidRDefault="00097E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4B15" w14:textId="5ECE340C" w:rsidR="00097E01" w:rsidRDefault="00097E01" w:rsidP="00097E01">
    <w:pPr>
      <w:pStyle w:val="Header"/>
      <w:ind w:firstLine="0"/>
    </w:pPr>
    <w:r w:rsidRPr="00097E01">
      <w:t xml:space="preserve">© 2025 Randy J. Hinrichs </w:t>
    </w:r>
    <w:r>
      <w:tab/>
    </w:r>
    <w:r w:rsidRPr="00097E01">
      <w:t xml:space="preserve"> The AI Moral Code Project</w:t>
    </w:r>
    <w:r>
      <w:ptab w:relativeTo="margin" w:alignment="right" w:leader="none"/>
    </w:r>
    <w:r w:rsidRPr="00097E01">
      <w:t xml:space="preserve"> Draft 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1A85" w14:textId="77777777" w:rsidR="00097E01" w:rsidRDefault="00097E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941"/>
    <w:multiLevelType w:val="multilevel"/>
    <w:tmpl w:val="253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4863"/>
    <w:multiLevelType w:val="multilevel"/>
    <w:tmpl w:val="7FAC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16D3F"/>
    <w:multiLevelType w:val="multilevel"/>
    <w:tmpl w:val="9ED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70E4"/>
    <w:multiLevelType w:val="multilevel"/>
    <w:tmpl w:val="62CC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309DA"/>
    <w:multiLevelType w:val="multilevel"/>
    <w:tmpl w:val="588665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746AC"/>
    <w:multiLevelType w:val="multilevel"/>
    <w:tmpl w:val="C9A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10750"/>
    <w:multiLevelType w:val="multilevel"/>
    <w:tmpl w:val="7D0EF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42C91"/>
    <w:multiLevelType w:val="multilevel"/>
    <w:tmpl w:val="F78083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0E8B0E09"/>
    <w:multiLevelType w:val="hybridMultilevel"/>
    <w:tmpl w:val="9E501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1269FC"/>
    <w:multiLevelType w:val="multilevel"/>
    <w:tmpl w:val="8702D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479E6"/>
    <w:multiLevelType w:val="multilevel"/>
    <w:tmpl w:val="8A9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06166"/>
    <w:multiLevelType w:val="multilevel"/>
    <w:tmpl w:val="BD4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E4F61"/>
    <w:multiLevelType w:val="multilevel"/>
    <w:tmpl w:val="FF5C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62B01"/>
    <w:multiLevelType w:val="multilevel"/>
    <w:tmpl w:val="23782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9A5482"/>
    <w:multiLevelType w:val="multilevel"/>
    <w:tmpl w:val="7EC2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B74B3"/>
    <w:multiLevelType w:val="hybridMultilevel"/>
    <w:tmpl w:val="2CAA0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7C174C4"/>
    <w:multiLevelType w:val="multilevel"/>
    <w:tmpl w:val="9C4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C72AD"/>
    <w:multiLevelType w:val="multilevel"/>
    <w:tmpl w:val="3F1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36808"/>
    <w:multiLevelType w:val="multilevel"/>
    <w:tmpl w:val="AA7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5310C"/>
    <w:multiLevelType w:val="multilevel"/>
    <w:tmpl w:val="B90C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0231CB"/>
    <w:multiLevelType w:val="hybridMultilevel"/>
    <w:tmpl w:val="040818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E183C4D"/>
    <w:multiLevelType w:val="multilevel"/>
    <w:tmpl w:val="315A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63EE7"/>
    <w:multiLevelType w:val="multilevel"/>
    <w:tmpl w:val="C4D48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623A41"/>
    <w:multiLevelType w:val="multilevel"/>
    <w:tmpl w:val="173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C5A5C"/>
    <w:multiLevelType w:val="multilevel"/>
    <w:tmpl w:val="A47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A617B"/>
    <w:multiLevelType w:val="multilevel"/>
    <w:tmpl w:val="F68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E27D3"/>
    <w:multiLevelType w:val="multilevel"/>
    <w:tmpl w:val="09C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65E9D"/>
    <w:multiLevelType w:val="multilevel"/>
    <w:tmpl w:val="EE5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8727D"/>
    <w:multiLevelType w:val="multilevel"/>
    <w:tmpl w:val="EB44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A1CC9"/>
    <w:multiLevelType w:val="hybridMultilevel"/>
    <w:tmpl w:val="053C2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DDD254F"/>
    <w:multiLevelType w:val="multilevel"/>
    <w:tmpl w:val="FF7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55F88"/>
    <w:multiLevelType w:val="multilevel"/>
    <w:tmpl w:val="84183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2A4252"/>
    <w:multiLevelType w:val="multilevel"/>
    <w:tmpl w:val="0DD0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C71885"/>
    <w:multiLevelType w:val="hybridMultilevel"/>
    <w:tmpl w:val="A8C887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7F86F85"/>
    <w:multiLevelType w:val="multilevel"/>
    <w:tmpl w:val="283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92849"/>
    <w:multiLevelType w:val="multilevel"/>
    <w:tmpl w:val="50E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32DF9"/>
    <w:multiLevelType w:val="multilevel"/>
    <w:tmpl w:val="D4B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C2085"/>
    <w:multiLevelType w:val="multilevel"/>
    <w:tmpl w:val="A62A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7C6C7E"/>
    <w:multiLevelType w:val="multilevel"/>
    <w:tmpl w:val="E83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574831"/>
    <w:multiLevelType w:val="multilevel"/>
    <w:tmpl w:val="66D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37A67"/>
    <w:multiLevelType w:val="multilevel"/>
    <w:tmpl w:val="043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4026B1"/>
    <w:multiLevelType w:val="multilevel"/>
    <w:tmpl w:val="3AAC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06857"/>
    <w:multiLevelType w:val="hybridMultilevel"/>
    <w:tmpl w:val="23C22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5D3647D"/>
    <w:multiLevelType w:val="multilevel"/>
    <w:tmpl w:val="9722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30C4E"/>
    <w:multiLevelType w:val="hybridMultilevel"/>
    <w:tmpl w:val="926CB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93C41B0"/>
    <w:multiLevelType w:val="hybridMultilevel"/>
    <w:tmpl w:val="7BCCA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A531C51"/>
    <w:multiLevelType w:val="multilevel"/>
    <w:tmpl w:val="2E8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8230E"/>
    <w:multiLevelType w:val="hybridMultilevel"/>
    <w:tmpl w:val="0FC0A4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C4C4FBD"/>
    <w:multiLevelType w:val="multilevel"/>
    <w:tmpl w:val="9BA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907760"/>
    <w:multiLevelType w:val="multilevel"/>
    <w:tmpl w:val="FD3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34D7C"/>
    <w:multiLevelType w:val="multilevel"/>
    <w:tmpl w:val="80E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2A77F8"/>
    <w:multiLevelType w:val="hybridMultilevel"/>
    <w:tmpl w:val="4B6A94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E444709"/>
    <w:multiLevelType w:val="hybridMultilevel"/>
    <w:tmpl w:val="438471C2"/>
    <w:lvl w:ilvl="0" w:tplc="B600A1BC">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F4B23F3"/>
    <w:multiLevelType w:val="multilevel"/>
    <w:tmpl w:val="94B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33398"/>
    <w:multiLevelType w:val="multilevel"/>
    <w:tmpl w:val="339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AE3AF3"/>
    <w:multiLevelType w:val="multilevel"/>
    <w:tmpl w:val="91AC1B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121C06"/>
    <w:multiLevelType w:val="multilevel"/>
    <w:tmpl w:val="002CF202"/>
    <w:styleLink w:val="APANumberedList"/>
    <w:lvl w:ilvl="0">
      <w:start w:val="1"/>
      <w:numFmt w:val="decimal"/>
      <w:lvlText w:val="%1."/>
      <w:lvlJc w:val="left"/>
      <w:pPr>
        <w:ind w:left="0" w:firstLine="0"/>
      </w:pPr>
      <w:rPr>
        <w:rFonts w:hint="default"/>
      </w:rPr>
    </w:lvl>
    <w:lvl w:ilvl="1">
      <w:start w:val="1"/>
      <w:numFmt w:val="bullet"/>
      <w:lvlText w:val=""/>
      <w:lvlJc w:val="left"/>
      <w:pPr>
        <w:ind w:left="2160" w:hanging="720"/>
      </w:pPr>
      <w:rPr>
        <w:rFonts w:ascii="Symbol" w:hAnsi="Symbol" w:hint="default"/>
        <w:color w:val="auto"/>
      </w:rPr>
    </w:lvl>
    <w:lvl w:ilvl="2">
      <w:start w:val="1"/>
      <w:numFmt w:val="bullet"/>
      <w:lvlText w:val=""/>
      <w:lvlJc w:val="left"/>
      <w:pPr>
        <w:ind w:left="0" w:firstLine="0"/>
      </w:pPr>
      <w:rPr>
        <w:rFonts w:ascii="Symbol" w:hAnsi="Symbol" w:hint="default"/>
        <w:color w:val="auto"/>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7" w15:restartNumberingAfterBreak="0">
    <w:nsid w:val="53292032"/>
    <w:multiLevelType w:val="multilevel"/>
    <w:tmpl w:val="C92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467253"/>
    <w:multiLevelType w:val="multilevel"/>
    <w:tmpl w:val="71D4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5232A5"/>
    <w:multiLevelType w:val="multilevel"/>
    <w:tmpl w:val="4078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551C6F"/>
    <w:multiLevelType w:val="multilevel"/>
    <w:tmpl w:val="E95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2A5E4A"/>
    <w:multiLevelType w:val="multilevel"/>
    <w:tmpl w:val="053874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8253D87"/>
    <w:multiLevelType w:val="multilevel"/>
    <w:tmpl w:val="423A01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F332AA"/>
    <w:multiLevelType w:val="multilevel"/>
    <w:tmpl w:val="A17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4E7159"/>
    <w:multiLevelType w:val="hybridMultilevel"/>
    <w:tmpl w:val="6630B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D3910AF"/>
    <w:multiLevelType w:val="multilevel"/>
    <w:tmpl w:val="7EAE70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5E1A4BD9"/>
    <w:multiLevelType w:val="multilevel"/>
    <w:tmpl w:val="2E9C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743631"/>
    <w:multiLevelType w:val="multilevel"/>
    <w:tmpl w:val="77F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B67880"/>
    <w:multiLevelType w:val="hybridMultilevel"/>
    <w:tmpl w:val="1AACAB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1013892"/>
    <w:multiLevelType w:val="multilevel"/>
    <w:tmpl w:val="E4E26E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553BF8"/>
    <w:multiLevelType w:val="hybridMultilevel"/>
    <w:tmpl w:val="D1B6C0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1B07A2A"/>
    <w:multiLevelType w:val="multilevel"/>
    <w:tmpl w:val="DFE2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8D0868"/>
    <w:multiLevelType w:val="multilevel"/>
    <w:tmpl w:val="80DA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673038"/>
    <w:multiLevelType w:val="multilevel"/>
    <w:tmpl w:val="81620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A7462"/>
    <w:multiLevelType w:val="hybridMultilevel"/>
    <w:tmpl w:val="6A3A92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6CA24D3E"/>
    <w:multiLevelType w:val="multilevel"/>
    <w:tmpl w:val="F12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BD6FAB"/>
    <w:multiLevelType w:val="multilevel"/>
    <w:tmpl w:val="96B4E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363CD4"/>
    <w:multiLevelType w:val="multilevel"/>
    <w:tmpl w:val="B18CC972"/>
    <w:lvl w:ilvl="0">
      <w:start w:val="1"/>
      <w:numFmt w:val="decimal"/>
      <w:pStyle w:val="BulletNu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741E6F9E"/>
    <w:multiLevelType w:val="multilevel"/>
    <w:tmpl w:val="A9C4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6758DD"/>
    <w:multiLevelType w:val="multilevel"/>
    <w:tmpl w:val="B76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2132C1"/>
    <w:multiLevelType w:val="multilevel"/>
    <w:tmpl w:val="A6348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B054F"/>
    <w:multiLevelType w:val="multilevel"/>
    <w:tmpl w:val="A77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302D1D"/>
    <w:multiLevelType w:val="multilevel"/>
    <w:tmpl w:val="B6D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6C1286"/>
    <w:multiLevelType w:val="multilevel"/>
    <w:tmpl w:val="9E5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ED0EA3"/>
    <w:multiLevelType w:val="hybridMultilevel"/>
    <w:tmpl w:val="BB4CD5B4"/>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15289420">
    <w:abstractNumId w:val="37"/>
  </w:num>
  <w:num w:numId="2" w16cid:durableId="1263956599">
    <w:abstractNumId w:val="13"/>
  </w:num>
  <w:num w:numId="3" w16cid:durableId="599023606">
    <w:abstractNumId w:val="22"/>
  </w:num>
  <w:num w:numId="4" w16cid:durableId="171724107">
    <w:abstractNumId w:val="34"/>
  </w:num>
  <w:num w:numId="5" w16cid:durableId="1759323078">
    <w:abstractNumId w:val="81"/>
  </w:num>
  <w:num w:numId="6" w16cid:durableId="1557817017">
    <w:abstractNumId w:val="31"/>
  </w:num>
  <w:num w:numId="7" w16cid:durableId="1489982985">
    <w:abstractNumId w:val="4"/>
  </w:num>
  <w:num w:numId="8" w16cid:durableId="789978048">
    <w:abstractNumId w:val="73"/>
  </w:num>
  <w:num w:numId="9" w16cid:durableId="2047679818">
    <w:abstractNumId w:val="62"/>
  </w:num>
  <w:num w:numId="10" w16cid:durableId="1143425095">
    <w:abstractNumId w:val="53"/>
  </w:num>
  <w:num w:numId="11" w16cid:durableId="1076053352">
    <w:abstractNumId w:val="0"/>
  </w:num>
  <w:num w:numId="12" w16cid:durableId="1521431599">
    <w:abstractNumId w:val="17"/>
  </w:num>
  <w:num w:numId="13" w16cid:durableId="1895048156">
    <w:abstractNumId w:val="36"/>
  </w:num>
  <w:num w:numId="14" w16cid:durableId="58404097">
    <w:abstractNumId w:val="63"/>
  </w:num>
  <w:num w:numId="15" w16cid:durableId="1317344028">
    <w:abstractNumId w:val="26"/>
  </w:num>
  <w:num w:numId="16" w16cid:durableId="4481506">
    <w:abstractNumId w:val="52"/>
  </w:num>
  <w:num w:numId="17" w16cid:durableId="22093882">
    <w:abstractNumId w:val="56"/>
  </w:num>
  <w:num w:numId="18" w16cid:durableId="772364938">
    <w:abstractNumId w:val="65"/>
  </w:num>
  <w:num w:numId="19" w16cid:durableId="214388245">
    <w:abstractNumId w:val="59"/>
  </w:num>
  <w:num w:numId="20" w16cid:durableId="2026469714">
    <w:abstractNumId w:val="46"/>
  </w:num>
  <w:num w:numId="21" w16cid:durableId="1419403775">
    <w:abstractNumId w:val="42"/>
  </w:num>
  <w:num w:numId="22" w16cid:durableId="1284772409">
    <w:abstractNumId w:val="21"/>
  </w:num>
  <w:num w:numId="23" w16cid:durableId="1993755898">
    <w:abstractNumId w:val="41"/>
  </w:num>
  <w:num w:numId="24" w16cid:durableId="1185709134">
    <w:abstractNumId w:val="61"/>
  </w:num>
  <w:num w:numId="25" w16cid:durableId="875190932">
    <w:abstractNumId w:val="1"/>
  </w:num>
  <w:num w:numId="26" w16cid:durableId="136191636">
    <w:abstractNumId w:val="35"/>
  </w:num>
  <w:num w:numId="27" w16cid:durableId="1414427498">
    <w:abstractNumId w:val="77"/>
  </w:num>
  <w:num w:numId="28" w16cid:durableId="468717140">
    <w:abstractNumId w:val="68"/>
  </w:num>
  <w:num w:numId="29" w16cid:durableId="847795688">
    <w:abstractNumId w:val="84"/>
  </w:num>
  <w:num w:numId="30" w16cid:durableId="1663703523">
    <w:abstractNumId w:val="44"/>
  </w:num>
  <w:num w:numId="31" w16cid:durableId="1548764566">
    <w:abstractNumId w:val="47"/>
  </w:num>
  <w:num w:numId="32" w16cid:durableId="826439556">
    <w:abstractNumId w:val="48"/>
  </w:num>
  <w:num w:numId="33" w16cid:durableId="1366371990">
    <w:abstractNumId w:val="24"/>
  </w:num>
  <w:num w:numId="34" w16cid:durableId="778795911">
    <w:abstractNumId w:val="45"/>
  </w:num>
  <w:num w:numId="35" w16cid:durableId="808933345">
    <w:abstractNumId w:val="66"/>
  </w:num>
  <w:num w:numId="36" w16cid:durableId="150874978">
    <w:abstractNumId w:val="30"/>
  </w:num>
  <w:num w:numId="37" w16cid:durableId="205217958">
    <w:abstractNumId w:val="82"/>
  </w:num>
  <w:num w:numId="38" w16cid:durableId="1423336001">
    <w:abstractNumId w:val="80"/>
  </w:num>
  <w:num w:numId="39" w16cid:durableId="799768227">
    <w:abstractNumId w:val="11"/>
  </w:num>
  <w:num w:numId="40" w16cid:durableId="2041930988">
    <w:abstractNumId w:val="79"/>
  </w:num>
  <w:num w:numId="41" w16cid:durableId="5638209">
    <w:abstractNumId w:val="10"/>
  </w:num>
  <w:num w:numId="42" w16cid:durableId="449012743">
    <w:abstractNumId w:val="57"/>
  </w:num>
  <w:num w:numId="43" w16cid:durableId="337001296">
    <w:abstractNumId w:val="29"/>
  </w:num>
  <w:num w:numId="44" w16cid:durableId="14498980">
    <w:abstractNumId w:val="54"/>
  </w:num>
  <w:num w:numId="45" w16cid:durableId="1995797046">
    <w:abstractNumId w:val="25"/>
  </w:num>
  <w:num w:numId="46" w16cid:durableId="2047749625">
    <w:abstractNumId w:val="28"/>
  </w:num>
  <w:num w:numId="47" w16cid:durableId="396172356">
    <w:abstractNumId w:val="71"/>
  </w:num>
  <w:num w:numId="48" w16cid:durableId="622611790">
    <w:abstractNumId w:val="78"/>
  </w:num>
  <w:num w:numId="49" w16cid:durableId="503135162">
    <w:abstractNumId w:val="75"/>
  </w:num>
  <w:num w:numId="50" w16cid:durableId="759105649">
    <w:abstractNumId w:val="5"/>
  </w:num>
  <w:num w:numId="51" w16cid:durableId="1195536111">
    <w:abstractNumId w:val="6"/>
  </w:num>
  <w:num w:numId="52" w16cid:durableId="1228876000">
    <w:abstractNumId w:val="16"/>
  </w:num>
  <w:num w:numId="53" w16cid:durableId="1394934365">
    <w:abstractNumId w:val="58"/>
  </w:num>
  <w:num w:numId="54" w16cid:durableId="1977835952">
    <w:abstractNumId w:val="50"/>
  </w:num>
  <w:num w:numId="55" w16cid:durableId="661665762">
    <w:abstractNumId w:val="76"/>
  </w:num>
  <w:num w:numId="56" w16cid:durableId="636449633">
    <w:abstractNumId w:val="2"/>
  </w:num>
  <w:num w:numId="57" w16cid:durableId="82917040">
    <w:abstractNumId w:val="19"/>
  </w:num>
  <w:num w:numId="58" w16cid:durableId="409929039">
    <w:abstractNumId w:val="49"/>
  </w:num>
  <w:num w:numId="59" w16cid:durableId="1557231234">
    <w:abstractNumId w:val="9"/>
  </w:num>
  <w:num w:numId="60" w16cid:durableId="1042559504">
    <w:abstractNumId w:val="32"/>
  </w:num>
  <w:num w:numId="61" w16cid:durableId="1361320270">
    <w:abstractNumId w:val="38"/>
  </w:num>
  <w:num w:numId="62" w16cid:durableId="1383093716">
    <w:abstractNumId w:val="83"/>
  </w:num>
  <w:num w:numId="63" w16cid:durableId="740250457">
    <w:abstractNumId w:val="33"/>
  </w:num>
  <w:num w:numId="64" w16cid:durableId="888152901">
    <w:abstractNumId w:val="12"/>
  </w:num>
  <w:num w:numId="65" w16cid:durableId="2077311449">
    <w:abstractNumId w:val="43"/>
  </w:num>
  <w:num w:numId="66" w16cid:durableId="484474752">
    <w:abstractNumId w:val="67"/>
  </w:num>
  <w:num w:numId="67" w16cid:durableId="795560888">
    <w:abstractNumId w:val="18"/>
  </w:num>
  <w:num w:numId="68" w16cid:durableId="913196567">
    <w:abstractNumId w:val="14"/>
  </w:num>
  <w:num w:numId="69" w16cid:durableId="853348926">
    <w:abstractNumId w:val="27"/>
  </w:num>
  <w:num w:numId="70" w16cid:durableId="255553548">
    <w:abstractNumId w:val="3"/>
  </w:num>
  <w:num w:numId="71" w16cid:durableId="1052005038">
    <w:abstractNumId w:val="39"/>
  </w:num>
  <w:num w:numId="72" w16cid:durableId="1928267330">
    <w:abstractNumId w:val="23"/>
  </w:num>
  <w:num w:numId="73" w16cid:durableId="1448429809">
    <w:abstractNumId w:val="40"/>
  </w:num>
  <w:num w:numId="74" w16cid:durableId="1338995075">
    <w:abstractNumId w:val="7"/>
  </w:num>
  <w:num w:numId="75" w16cid:durableId="518351088">
    <w:abstractNumId w:val="15"/>
  </w:num>
  <w:num w:numId="76" w16cid:durableId="919174212">
    <w:abstractNumId w:val="60"/>
  </w:num>
  <w:num w:numId="77" w16cid:durableId="1363558673">
    <w:abstractNumId w:val="74"/>
  </w:num>
  <w:num w:numId="78" w16cid:durableId="1069422281">
    <w:abstractNumId w:val="72"/>
  </w:num>
  <w:num w:numId="79" w16cid:durableId="1073432896">
    <w:abstractNumId w:val="69"/>
  </w:num>
  <w:num w:numId="80" w16cid:durableId="1679430326">
    <w:abstractNumId w:val="55"/>
  </w:num>
  <w:num w:numId="81" w16cid:durableId="1927300874">
    <w:abstractNumId w:val="20"/>
  </w:num>
  <w:num w:numId="82" w16cid:durableId="808128547">
    <w:abstractNumId w:val="51"/>
  </w:num>
  <w:num w:numId="83" w16cid:durableId="1107848521">
    <w:abstractNumId w:val="70"/>
  </w:num>
  <w:num w:numId="84" w16cid:durableId="1635520037">
    <w:abstractNumId w:val="64"/>
  </w:num>
  <w:num w:numId="85" w16cid:durableId="8223101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29A5"/>
    <w:rsid w:val="00005A3C"/>
    <w:rsid w:val="00010E94"/>
    <w:rsid w:val="000135C7"/>
    <w:rsid w:val="00013CFB"/>
    <w:rsid w:val="00015939"/>
    <w:rsid w:val="0002601B"/>
    <w:rsid w:val="000361FA"/>
    <w:rsid w:val="00044DE7"/>
    <w:rsid w:val="00053CCB"/>
    <w:rsid w:val="000570B7"/>
    <w:rsid w:val="00067B00"/>
    <w:rsid w:val="00070731"/>
    <w:rsid w:val="00097E01"/>
    <w:rsid w:val="000A0879"/>
    <w:rsid w:val="000B2C2C"/>
    <w:rsid w:val="000C17D0"/>
    <w:rsid w:val="000C5E47"/>
    <w:rsid w:val="000D1191"/>
    <w:rsid w:val="000D1AB2"/>
    <w:rsid w:val="000D1B77"/>
    <w:rsid w:val="000D713B"/>
    <w:rsid w:val="00115791"/>
    <w:rsid w:val="00140511"/>
    <w:rsid w:val="001415B5"/>
    <w:rsid w:val="00146F8F"/>
    <w:rsid w:val="00151059"/>
    <w:rsid w:val="001547D7"/>
    <w:rsid w:val="001644FA"/>
    <w:rsid w:val="00166887"/>
    <w:rsid w:val="0017478C"/>
    <w:rsid w:val="00176062"/>
    <w:rsid w:val="001830FF"/>
    <w:rsid w:val="00187C88"/>
    <w:rsid w:val="001952CA"/>
    <w:rsid w:val="001B597E"/>
    <w:rsid w:val="001B7BC2"/>
    <w:rsid w:val="001C3AD2"/>
    <w:rsid w:val="001D578F"/>
    <w:rsid w:val="001E01C8"/>
    <w:rsid w:val="001E0971"/>
    <w:rsid w:val="001E0EEA"/>
    <w:rsid w:val="001E5E7E"/>
    <w:rsid w:val="001F381F"/>
    <w:rsid w:val="001F5432"/>
    <w:rsid w:val="00206BBB"/>
    <w:rsid w:val="002119EF"/>
    <w:rsid w:val="0021532B"/>
    <w:rsid w:val="00217541"/>
    <w:rsid w:val="002233EC"/>
    <w:rsid w:val="00226996"/>
    <w:rsid w:val="002304FC"/>
    <w:rsid w:val="002344E6"/>
    <w:rsid w:val="00240ECE"/>
    <w:rsid w:val="002425D4"/>
    <w:rsid w:val="00244293"/>
    <w:rsid w:val="00246AF2"/>
    <w:rsid w:val="00246CE9"/>
    <w:rsid w:val="00255AAE"/>
    <w:rsid w:val="002628E0"/>
    <w:rsid w:val="00267226"/>
    <w:rsid w:val="0027127C"/>
    <w:rsid w:val="00274DEA"/>
    <w:rsid w:val="002833F2"/>
    <w:rsid w:val="002A1CA9"/>
    <w:rsid w:val="002A1EE1"/>
    <w:rsid w:val="002A7B6A"/>
    <w:rsid w:val="002B2900"/>
    <w:rsid w:val="002B2F97"/>
    <w:rsid w:val="002B4C55"/>
    <w:rsid w:val="002C440D"/>
    <w:rsid w:val="002E567F"/>
    <w:rsid w:val="00303BF6"/>
    <w:rsid w:val="00311957"/>
    <w:rsid w:val="00311AA7"/>
    <w:rsid w:val="00311D6F"/>
    <w:rsid w:val="00313E30"/>
    <w:rsid w:val="00325C56"/>
    <w:rsid w:val="00343B80"/>
    <w:rsid w:val="00343D5A"/>
    <w:rsid w:val="00353E03"/>
    <w:rsid w:val="0036435F"/>
    <w:rsid w:val="00367CDD"/>
    <w:rsid w:val="00371B4E"/>
    <w:rsid w:val="003769DD"/>
    <w:rsid w:val="00383BCB"/>
    <w:rsid w:val="003A30A2"/>
    <w:rsid w:val="003B0629"/>
    <w:rsid w:val="003B53CE"/>
    <w:rsid w:val="003B7EFA"/>
    <w:rsid w:val="003D28D8"/>
    <w:rsid w:val="003D48CA"/>
    <w:rsid w:val="003D55B6"/>
    <w:rsid w:val="003F724F"/>
    <w:rsid w:val="00432A42"/>
    <w:rsid w:val="0043348A"/>
    <w:rsid w:val="00443265"/>
    <w:rsid w:val="00445A08"/>
    <w:rsid w:val="00471C92"/>
    <w:rsid w:val="00473468"/>
    <w:rsid w:val="00497BF1"/>
    <w:rsid w:val="004A1AC1"/>
    <w:rsid w:val="004B37FB"/>
    <w:rsid w:val="004B3D9D"/>
    <w:rsid w:val="004C5A5C"/>
    <w:rsid w:val="0050332C"/>
    <w:rsid w:val="00506B81"/>
    <w:rsid w:val="005154BE"/>
    <w:rsid w:val="00521A8F"/>
    <w:rsid w:val="00524FC6"/>
    <w:rsid w:val="005356DB"/>
    <w:rsid w:val="00541950"/>
    <w:rsid w:val="005428F4"/>
    <w:rsid w:val="005458B2"/>
    <w:rsid w:val="00561D12"/>
    <w:rsid w:val="00565A07"/>
    <w:rsid w:val="00565EE9"/>
    <w:rsid w:val="00571A0A"/>
    <w:rsid w:val="005840BE"/>
    <w:rsid w:val="005A0C90"/>
    <w:rsid w:val="005A3BA8"/>
    <w:rsid w:val="005A6D81"/>
    <w:rsid w:val="005C1A63"/>
    <w:rsid w:val="005C24F9"/>
    <w:rsid w:val="005D050C"/>
    <w:rsid w:val="005D441F"/>
    <w:rsid w:val="005E6CA1"/>
    <w:rsid w:val="005F35D5"/>
    <w:rsid w:val="00604302"/>
    <w:rsid w:val="0061078F"/>
    <w:rsid w:val="006123D2"/>
    <w:rsid w:val="0061319E"/>
    <w:rsid w:val="00614E82"/>
    <w:rsid w:val="00620BEB"/>
    <w:rsid w:val="00626CCA"/>
    <w:rsid w:val="006311D3"/>
    <w:rsid w:val="00645290"/>
    <w:rsid w:val="00651B7F"/>
    <w:rsid w:val="006554FF"/>
    <w:rsid w:val="006559D6"/>
    <w:rsid w:val="00656209"/>
    <w:rsid w:val="006636AE"/>
    <w:rsid w:val="00675295"/>
    <w:rsid w:val="00684B04"/>
    <w:rsid w:val="00687497"/>
    <w:rsid w:val="006A0816"/>
    <w:rsid w:val="006A2FC5"/>
    <w:rsid w:val="006A3C63"/>
    <w:rsid w:val="006A4280"/>
    <w:rsid w:val="006C737D"/>
    <w:rsid w:val="006D0F83"/>
    <w:rsid w:val="006D1DC2"/>
    <w:rsid w:val="006D2D3F"/>
    <w:rsid w:val="006D4C34"/>
    <w:rsid w:val="006E6A51"/>
    <w:rsid w:val="006E7867"/>
    <w:rsid w:val="006F250B"/>
    <w:rsid w:val="006F4DAF"/>
    <w:rsid w:val="007064BF"/>
    <w:rsid w:val="007112C8"/>
    <w:rsid w:val="00716811"/>
    <w:rsid w:val="007211E5"/>
    <w:rsid w:val="007212DC"/>
    <w:rsid w:val="00725C8F"/>
    <w:rsid w:val="00733547"/>
    <w:rsid w:val="0074600F"/>
    <w:rsid w:val="0075078A"/>
    <w:rsid w:val="00752D8E"/>
    <w:rsid w:val="00775A0B"/>
    <w:rsid w:val="007854C9"/>
    <w:rsid w:val="007D10F4"/>
    <w:rsid w:val="007D17FD"/>
    <w:rsid w:val="007D7A94"/>
    <w:rsid w:val="007E0412"/>
    <w:rsid w:val="007F1949"/>
    <w:rsid w:val="007F52DD"/>
    <w:rsid w:val="0080032F"/>
    <w:rsid w:val="00805A69"/>
    <w:rsid w:val="00816E2D"/>
    <w:rsid w:val="008176A8"/>
    <w:rsid w:val="00821C80"/>
    <w:rsid w:val="00833397"/>
    <w:rsid w:val="00852EC5"/>
    <w:rsid w:val="008933B9"/>
    <w:rsid w:val="00895801"/>
    <w:rsid w:val="008A5BC7"/>
    <w:rsid w:val="008B3476"/>
    <w:rsid w:val="008B64DF"/>
    <w:rsid w:val="008C1DFB"/>
    <w:rsid w:val="008C4FA1"/>
    <w:rsid w:val="008E00FA"/>
    <w:rsid w:val="008F2540"/>
    <w:rsid w:val="008F5C07"/>
    <w:rsid w:val="008F799D"/>
    <w:rsid w:val="0090532F"/>
    <w:rsid w:val="00906C2D"/>
    <w:rsid w:val="00907BB9"/>
    <w:rsid w:val="00910FAE"/>
    <w:rsid w:val="0092320D"/>
    <w:rsid w:val="00930B9A"/>
    <w:rsid w:val="0093517F"/>
    <w:rsid w:val="009466AA"/>
    <w:rsid w:val="00947E97"/>
    <w:rsid w:val="009506A5"/>
    <w:rsid w:val="009558F1"/>
    <w:rsid w:val="00971D1D"/>
    <w:rsid w:val="00992D81"/>
    <w:rsid w:val="009B38B0"/>
    <w:rsid w:val="009B78F1"/>
    <w:rsid w:val="009C55BB"/>
    <w:rsid w:val="009E157F"/>
    <w:rsid w:val="009E20E2"/>
    <w:rsid w:val="009E7F53"/>
    <w:rsid w:val="009F471B"/>
    <w:rsid w:val="00A05C6D"/>
    <w:rsid w:val="00A1215A"/>
    <w:rsid w:val="00A30471"/>
    <w:rsid w:val="00A30CD3"/>
    <w:rsid w:val="00A31F1C"/>
    <w:rsid w:val="00A344F7"/>
    <w:rsid w:val="00A3634C"/>
    <w:rsid w:val="00A41857"/>
    <w:rsid w:val="00A476D5"/>
    <w:rsid w:val="00A47D37"/>
    <w:rsid w:val="00A50676"/>
    <w:rsid w:val="00A61812"/>
    <w:rsid w:val="00A726CD"/>
    <w:rsid w:val="00A729A5"/>
    <w:rsid w:val="00A74660"/>
    <w:rsid w:val="00A75926"/>
    <w:rsid w:val="00A84543"/>
    <w:rsid w:val="00A91985"/>
    <w:rsid w:val="00AA7044"/>
    <w:rsid w:val="00AD0A8E"/>
    <w:rsid w:val="00AD7B7E"/>
    <w:rsid w:val="00AE1B2A"/>
    <w:rsid w:val="00AE650B"/>
    <w:rsid w:val="00AF008F"/>
    <w:rsid w:val="00AF6333"/>
    <w:rsid w:val="00B132D0"/>
    <w:rsid w:val="00B15E88"/>
    <w:rsid w:val="00B206A8"/>
    <w:rsid w:val="00B2396E"/>
    <w:rsid w:val="00B258E6"/>
    <w:rsid w:val="00B35844"/>
    <w:rsid w:val="00B50D81"/>
    <w:rsid w:val="00B542B3"/>
    <w:rsid w:val="00B55F86"/>
    <w:rsid w:val="00B63D07"/>
    <w:rsid w:val="00B77E9A"/>
    <w:rsid w:val="00B83C76"/>
    <w:rsid w:val="00B8576D"/>
    <w:rsid w:val="00B86D87"/>
    <w:rsid w:val="00B9108A"/>
    <w:rsid w:val="00B923CE"/>
    <w:rsid w:val="00BA2F7F"/>
    <w:rsid w:val="00BA4955"/>
    <w:rsid w:val="00BB725E"/>
    <w:rsid w:val="00BC1632"/>
    <w:rsid w:val="00BC2D19"/>
    <w:rsid w:val="00BC5AC8"/>
    <w:rsid w:val="00BD01D8"/>
    <w:rsid w:val="00BD0BF9"/>
    <w:rsid w:val="00BD5ED2"/>
    <w:rsid w:val="00BE5616"/>
    <w:rsid w:val="00BE7F1E"/>
    <w:rsid w:val="00BF095E"/>
    <w:rsid w:val="00BF0EB3"/>
    <w:rsid w:val="00BF6EB6"/>
    <w:rsid w:val="00C02347"/>
    <w:rsid w:val="00C104A7"/>
    <w:rsid w:val="00C12FA8"/>
    <w:rsid w:val="00C167ED"/>
    <w:rsid w:val="00C20759"/>
    <w:rsid w:val="00C32E89"/>
    <w:rsid w:val="00C549EB"/>
    <w:rsid w:val="00C56AF4"/>
    <w:rsid w:val="00C62978"/>
    <w:rsid w:val="00C63030"/>
    <w:rsid w:val="00C822BE"/>
    <w:rsid w:val="00C8534B"/>
    <w:rsid w:val="00C954C8"/>
    <w:rsid w:val="00CA3B56"/>
    <w:rsid w:val="00CA6345"/>
    <w:rsid w:val="00CC3AB9"/>
    <w:rsid w:val="00CC3F44"/>
    <w:rsid w:val="00CC5BD9"/>
    <w:rsid w:val="00CD0023"/>
    <w:rsid w:val="00CD6ED9"/>
    <w:rsid w:val="00CE2696"/>
    <w:rsid w:val="00CE5739"/>
    <w:rsid w:val="00CE5D44"/>
    <w:rsid w:val="00CE7C3E"/>
    <w:rsid w:val="00CF317A"/>
    <w:rsid w:val="00D0130B"/>
    <w:rsid w:val="00D02EEB"/>
    <w:rsid w:val="00D04F9D"/>
    <w:rsid w:val="00D05CF8"/>
    <w:rsid w:val="00D074EF"/>
    <w:rsid w:val="00D10947"/>
    <w:rsid w:val="00D1163E"/>
    <w:rsid w:val="00D24B7B"/>
    <w:rsid w:val="00D31ED0"/>
    <w:rsid w:val="00D43DC4"/>
    <w:rsid w:val="00D514D7"/>
    <w:rsid w:val="00D56B04"/>
    <w:rsid w:val="00D74249"/>
    <w:rsid w:val="00D74E34"/>
    <w:rsid w:val="00D851FA"/>
    <w:rsid w:val="00D85BA1"/>
    <w:rsid w:val="00DA2A8B"/>
    <w:rsid w:val="00DE4260"/>
    <w:rsid w:val="00DE51C5"/>
    <w:rsid w:val="00DE53E0"/>
    <w:rsid w:val="00DE6321"/>
    <w:rsid w:val="00DF1230"/>
    <w:rsid w:val="00DF5BC7"/>
    <w:rsid w:val="00E231C5"/>
    <w:rsid w:val="00E33518"/>
    <w:rsid w:val="00E40157"/>
    <w:rsid w:val="00E54C8F"/>
    <w:rsid w:val="00E63E19"/>
    <w:rsid w:val="00E71307"/>
    <w:rsid w:val="00E81E34"/>
    <w:rsid w:val="00E846A4"/>
    <w:rsid w:val="00E91C94"/>
    <w:rsid w:val="00E9681C"/>
    <w:rsid w:val="00EA3334"/>
    <w:rsid w:val="00EA3B28"/>
    <w:rsid w:val="00EC6790"/>
    <w:rsid w:val="00ED48E9"/>
    <w:rsid w:val="00ED7A9E"/>
    <w:rsid w:val="00EE2EFF"/>
    <w:rsid w:val="00EE4DC1"/>
    <w:rsid w:val="00EF14BF"/>
    <w:rsid w:val="00EF1694"/>
    <w:rsid w:val="00EF575E"/>
    <w:rsid w:val="00F07BBE"/>
    <w:rsid w:val="00F13E6F"/>
    <w:rsid w:val="00F24372"/>
    <w:rsid w:val="00F2509B"/>
    <w:rsid w:val="00F349EA"/>
    <w:rsid w:val="00F4287D"/>
    <w:rsid w:val="00F42A92"/>
    <w:rsid w:val="00F45919"/>
    <w:rsid w:val="00F4692C"/>
    <w:rsid w:val="00F53137"/>
    <w:rsid w:val="00F578C8"/>
    <w:rsid w:val="00F6566F"/>
    <w:rsid w:val="00F7014C"/>
    <w:rsid w:val="00F8531F"/>
    <w:rsid w:val="00F94531"/>
    <w:rsid w:val="00F95BED"/>
    <w:rsid w:val="00FB7CB7"/>
    <w:rsid w:val="00FC02B2"/>
    <w:rsid w:val="00FE4DEC"/>
    <w:rsid w:val="00FF1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fillcolor="none [2732]" strokecolor="none [2412]">
      <v:fill color="none [2732]"/>
      <v:stroke color="none [2412]"/>
    </o:shapedefaults>
    <o:shapelayout v:ext="edit">
      <o:idmap v:ext="edit" data="1"/>
    </o:shapelayout>
  </w:shapeDefaults>
  <w:decimalSymbol w:val="."/>
  <w:listSeparator w:val=","/>
  <w14:docId w14:val="0C7FACCF"/>
  <w15:chartTrackingRefBased/>
  <w15:docId w15:val="{4729A473-76C6-4A19-82E9-2AA0B0BD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8E6"/>
    <w:pPr>
      <w:spacing w:before="120" w:after="0" w:line="480" w:lineRule="auto"/>
      <w:ind w:firstLine="720"/>
    </w:pPr>
    <w:rPr>
      <w:rFonts w:ascii="Times New Roman" w:eastAsia="PMingLiU" w:hAnsi="Times New Roman" w:cs="Times New Roman"/>
      <w:kern w:val="0"/>
      <w:sz w:val="24"/>
      <w:szCs w:val="24"/>
      <w:lang w:eastAsia="sl-SI"/>
    </w:rPr>
  </w:style>
  <w:style w:type="paragraph" w:styleId="Heading1">
    <w:name w:val="heading 1"/>
    <w:basedOn w:val="Normal"/>
    <w:next w:val="Normal"/>
    <w:link w:val="Heading1Char"/>
    <w:uiPriority w:val="9"/>
    <w:qFormat/>
    <w:rsid w:val="00B258E6"/>
    <w:pPr>
      <w:spacing w:after="120"/>
      <w:ind w:firstLine="0"/>
      <w:jc w:val="center"/>
      <w:outlineLvl w:val="0"/>
    </w:pPr>
    <w:rPr>
      <w:b/>
      <w:szCs w:val="32"/>
    </w:rPr>
  </w:style>
  <w:style w:type="paragraph" w:styleId="Heading2">
    <w:name w:val="heading 2"/>
    <w:basedOn w:val="Title"/>
    <w:next w:val="Normal"/>
    <w:link w:val="Heading2Char"/>
    <w:uiPriority w:val="9"/>
    <w:unhideWhenUsed/>
    <w:qFormat/>
    <w:rsid w:val="00B258E6"/>
    <w:pPr>
      <w:spacing w:before="120" w:after="0"/>
      <w:ind w:firstLine="0"/>
      <w:jc w:val="left"/>
      <w:outlineLvl w:val="1"/>
    </w:pPr>
    <w:rPr>
      <w:bCs w:val="0"/>
      <w:kern w:val="0"/>
      <w:lang w:eastAsia="en-US"/>
    </w:rPr>
  </w:style>
  <w:style w:type="paragraph" w:styleId="Heading3">
    <w:name w:val="heading 3"/>
    <w:basedOn w:val="Normal"/>
    <w:next w:val="Normal"/>
    <w:link w:val="Heading3Char"/>
    <w:uiPriority w:val="9"/>
    <w:unhideWhenUsed/>
    <w:qFormat/>
    <w:rsid w:val="00B258E6"/>
    <w:pPr>
      <w:spacing w:after="120"/>
      <w:ind w:firstLine="0"/>
      <w:outlineLvl w:val="2"/>
    </w:pPr>
    <w:rPr>
      <w:b/>
      <w:i/>
      <w:iCs/>
      <w:lang w:eastAsia="en-US"/>
    </w:rPr>
  </w:style>
  <w:style w:type="paragraph" w:styleId="Heading4">
    <w:name w:val="heading 4"/>
    <w:basedOn w:val="Normal"/>
    <w:link w:val="Heading4Char"/>
    <w:uiPriority w:val="9"/>
    <w:qFormat/>
    <w:rsid w:val="00B258E6"/>
    <w:pPr>
      <w:spacing w:after="120"/>
      <w:ind w:left="720" w:firstLine="0"/>
      <w:outlineLvl w:val="3"/>
    </w:pPr>
    <w:rPr>
      <w:rFonts w:eastAsia="Times New Roman"/>
      <w:b/>
      <w:bCs/>
      <w:iCs/>
      <w:lang w:eastAsia="en-US"/>
    </w:rPr>
  </w:style>
  <w:style w:type="paragraph" w:styleId="Heading5">
    <w:name w:val="heading 5"/>
    <w:basedOn w:val="Normal"/>
    <w:next w:val="Normal"/>
    <w:link w:val="Heading5Char"/>
    <w:uiPriority w:val="9"/>
    <w:unhideWhenUsed/>
    <w:qFormat/>
    <w:rsid w:val="00B258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58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58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58E6"/>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58E6"/>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58E6"/>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58E6"/>
    <w:rPr>
      <w:rFonts w:ascii="Lucida Grande" w:eastAsia="PMingLiU" w:hAnsi="Lucida Grande" w:cs="Lucida Grande"/>
      <w:kern w:val="0"/>
      <w:sz w:val="18"/>
      <w:szCs w:val="18"/>
      <w:lang w:eastAsia="sl-SI"/>
    </w:rPr>
  </w:style>
  <w:style w:type="character" w:styleId="CommentReference">
    <w:name w:val="annotation reference"/>
    <w:basedOn w:val="DefaultParagraphFont"/>
    <w:uiPriority w:val="99"/>
    <w:semiHidden/>
    <w:unhideWhenUsed/>
    <w:rsid w:val="00B258E6"/>
    <w:rPr>
      <w:sz w:val="16"/>
      <w:szCs w:val="16"/>
    </w:rPr>
  </w:style>
  <w:style w:type="paragraph" w:styleId="CommentText">
    <w:name w:val="annotation text"/>
    <w:basedOn w:val="Normal"/>
    <w:link w:val="CommentTextChar"/>
    <w:uiPriority w:val="99"/>
    <w:unhideWhenUsed/>
    <w:rsid w:val="00B258E6"/>
    <w:rPr>
      <w:sz w:val="20"/>
      <w:szCs w:val="20"/>
    </w:rPr>
  </w:style>
  <w:style w:type="character" w:customStyle="1" w:styleId="CommentTextChar">
    <w:name w:val="Comment Text Char"/>
    <w:basedOn w:val="DefaultParagraphFont"/>
    <w:link w:val="CommentText"/>
    <w:uiPriority w:val="99"/>
    <w:rsid w:val="00B258E6"/>
    <w:rPr>
      <w:rFonts w:ascii="Times New Roman" w:eastAsia="PMingLiU" w:hAnsi="Times New Roman" w:cs="Times New Roman"/>
      <w:kern w:val="0"/>
      <w:sz w:val="20"/>
      <w:szCs w:val="20"/>
      <w:lang w:eastAsia="sl-SI"/>
    </w:rPr>
  </w:style>
  <w:style w:type="paragraph" w:styleId="CommentSubject">
    <w:name w:val="annotation subject"/>
    <w:basedOn w:val="CommentText"/>
    <w:next w:val="CommentText"/>
    <w:link w:val="CommentSubjectChar"/>
    <w:uiPriority w:val="99"/>
    <w:semiHidden/>
    <w:unhideWhenUsed/>
    <w:rsid w:val="00B258E6"/>
    <w:rPr>
      <w:b/>
      <w:bCs/>
    </w:rPr>
  </w:style>
  <w:style w:type="character" w:customStyle="1" w:styleId="CommentSubjectChar">
    <w:name w:val="Comment Subject Char"/>
    <w:basedOn w:val="CommentTextChar"/>
    <w:link w:val="CommentSubject"/>
    <w:uiPriority w:val="99"/>
    <w:semiHidden/>
    <w:rsid w:val="00B258E6"/>
    <w:rPr>
      <w:rFonts w:ascii="Times New Roman" w:eastAsia="PMingLiU" w:hAnsi="Times New Roman" w:cs="Times New Roman"/>
      <w:b/>
      <w:bCs/>
      <w:kern w:val="0"/>
      <w:sz w:val="20"/>
      <w:szCs w:val="20"/>
      <w:lang w:eastAsia="sl-SI"/>
    </w:rPr>
  </w:style>
  <w:style w:type="paragraph" w:styleId="Footer">
    <w:name w:val="footer"/>
    <w:basedOn w:val="Normal"/>
    <w:link w:val="FooterChar"/>
    <w:uiPriority w:val="99"/>
    <w:unhideWhenUsed/>
    <w:rsid w:val="00B258E6"/>
    <w:pPr>
      <w:tabs>
        <w:tab w:val="center" w:pos="4680"/>
        <w:tab w:val="right" w:pos="9360"/>
      </w:tabs>
      <w:spacing w:before="0"/>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uiPriority w:val="99"/>
    <w:rsid w:val="00B258E6"/>
    <w:rPr>
      <w:kern w:val="0"/>
      <w:sz w:val="24"/>
    </w:rPr>
  </w:style>
  <w:style w:type="paragraph" w:styleId="Header">
    <w:name w:val="header"/>
    <w:basedOn w:val="Normal"/>
    <w:link w:val="HeaderChar"/>
    <w:unhideWhenUsed/>
    <w:rsid w:val="00B258E6"/>
    <w:pPr>
      <w:tabs>
        <w:tab w:val="center" w:pos="4680"/>
        <w:tab w:val="right" w:pos="9360"/>
      </w:tabs>
      <w:spacing w:before="0"/>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B258E6"/>
    <w:rPr>
      <w:kern w:val="0"/>
      <w:sz w:val="24"/>
    </w:rPr>
  </w:style>
  <w:style w:type="character" w:customStyle="1" w:styleId="Heading1Char">
    <w:name w:val="Heading 1 Char"/>
    <w:basedOn w:val="DefaultParagraphFont"/>
    <w:link w:val="Heading1"/>
    <w:uiPriority w:val="9"/>
    <w:rsid w:val="00B258E6"/>
    <w:rPr>
      <w:rFonts w:ascii="Times New Roman" w:eastAsia="PMingLiU" w:hAnsi="Times New Roman" w:cs="Times New Roman"/>
      <w:b/>
      <w:kern w:val="0"/>
      <w:sz w:val="24"/>
      <w:szCs w:val="32"/>
      <w:lang w:eastAsia="sl-SI"/>
    </w:rPr>
  </w:style>
  <w:style w:type="paragraph" w:styleId="Title">
    <w:name w:val="Title"/>
    <w:basedOn w:val="Normal"/>
    <w:link w:val="TitleChar"/>
    <w:qFormat/>
    <w:rsid w:val="00B258E6"/>
    <w:pPr>
      <w:suppressAutoHyphens/>
      <w:spacing w:before="240" w:after="60"/>
      <w:jc w:val="center"/>
      <w:outlineLvl w:val="0"/>
    </w:pPr>
    <w:rPr>
      <w:b/>
      <w:bCs/>
      <w:kern w:val="28"/>
    </w:rPr>
  </w:style>
  <w:style w:type="character" w:customStyle="1" w:styleId="TitleChar">
    <w:name w:val="Title Char"/>
    <w:basedOn w:val="DefaultParagraphFont"/>
    <w:link w:val="Title"/>
    <w:rsid w:val="00B258E6"/>
    <w:rPr>
      <w:rFonts w:ascii="Times New Roman" w:eastAsia="PMingLiU" w:hAnsi="Times New Roman" w:cs="Times New Roman"/>
      <w:b/>
      <w:bCs/>
      <w:kern w:val="28"/>
      <w:sz w:val="24"/>
      <w:szCs w:val="24"/>
      <w:lang w:eastAsia="sl-SI"/>
    </w:rPr>
  </w:style>
  <w:style w:type="character" w:customStyle="1" w:styleId="Heading2Char">
    <w:name w:val="Heading 2 Char"/>
    <w:basedOn w:val="DefaultParagraphFont"/>
    <w:link w:val="Heading2"/>
    <w:uiPriority w:val="9"/>
    <w:rsid w:val="00B258E6"/>
    <w:rPr>
      <w:rFonts w:ascii="Times New Roman" w:eastAsia="PMingLiU" w:hAnsi="Times New Roman" w:cs="Times New Roman"/>
      <w:b/>
      <w:kern w:val="0"/>
      <w:sz w:val="24"/>
      <w:szCs w:val="24"/>
    </w:rPr>
  </w:style>
  <w:style w:type="character" w:customStyle="1" w:styleId="Heading3Char">
    <w:name w:val="Heading 3 Char"/>
    <w:basedOn w:val="DefaultParagraphFont"/>
    <w:link w:val="Heading3"/>
    <w:uiPriority w:val="9"/>
    <w:rsid w:val="00B258E6"/>
    <w:rPr>
      <w:rFonts w:ascii="Times New Roman" w:eastAsia="PMingLiU" w:hAnsi="Times New Roman" w:cs="Times New Roman"/>
      <w:b/>
      <w:i/>
      <w:iCs/>
      <w:kern w:val="0"/>
      <w:sz w:val="24"/>
      <w:szCs w:val="24"/>
    </w:rPr>
  </w:style>
  <w:style w:type="character" w:customStyle="1" w:styleId="Heading4Char">
    <w:name w:val="Heading 4 Char"/>
    <w:basedOn w:val="DefaultParagraphFont"/>
    <w:link w:val="Heading4"/>
    <w:uiPriority w:val="9"/>
    <w:rsid w:val="00B258E6"/>
    <w:rPr>
      <w:rFonts w:ascii="Times New Roman" w:eastAsia="Times New Roman" w:hAnsi="Times New Roman" w:cs="Times New Roman"/>
      <w:b/>
      <w:bCs/>
      <w:iCs/>
      <w:kern w:val="0"/>
      <w:sz w:val="24"/>
      <w:szCs w:val="24"/>
    </w:rPr>
  </w:style>
  <w:style w:type="character" w:styleId="Hyperlink">
    <w:name w:val="Hyperlink"/>
    <w:basedOn w:val="DefaultParagraphFont"/>
    <w:uiPriority w:val="99"/>
    <w:unhideWhenUsed/>
    <w:rsid w:val="00B258E6"/>
    <w:rPr>
      <w:color w:val="0000FF"/>
      <w:u w:val="single"/>
    </w:rPr>
  </w:style>
  <w:style w:type="paragraph" w:styleId="NormalWeb">
    <w:name w:val="Normal (Web)"/>
    <w:basedOn w:val="Normal"/>
    <w:uiPriority w:val="99"/>
    <w:unhideWhenUsed/>
    <w:rsid w:val="00B258E6"/>
    <w:pPr>
      <w:spacing w:before="100" w:beforeAutospacing="1" w:after="100" w:afterAutospacing="1"/>
    </w:pPr>
    <w:rPr>
      <w:rFonts w:eastAsia="Times New Roman"/>
      <w:lang w:eastAsia="en-US"/>
    </w:rPr>
  </w:style>
  <w:style w:type="table" w:styleId="TableGrid">
    <w:name w:val="Table Grid"/>
    <w:basedOn w:val="TableNormal"/>
    <w:uiPriority w:val="59"/>
    <w:rsid w:val="00B258E6"/>
    <w:pPr>
      <w:spacing w:before="0" w:after="0"/>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58E6"/>
    <w:rPr>
      <w:color w:val="605E5C"/>
      <w:shd w:val="clear" w:color="auto" w:fill="E1DFDD"/>
    </w:rPr>
  </w:style>
  <w:style w:type="paragraph" w:styleId="NoSpacing">
    <w:name w:val="No Spacing"/>
    <w:uiPriority w:val="1"/>
    <w:qFormat/>
    <w:rsid w:val="00A61812"/>
    <w:pPr>
      <w:spacing w:before="0" w:after="0"/>
    </w:pPr>
    <w:rPr>
      <w:rFonts w:eastAsia="PMingLiU" w:cs="Times New Roman"/>
      <w:kern w:val="0"/>
      <w:szCs w:val="24"/>
      <w:lang w:eastAsia="sl-SI"/>
    </w:rPr>
  </w:style>
  <w:style w:type="character" w:customStyle="1" w:styleId="Heading5Char">
    <w:name w:val="Heading 5 Char"/>
    <w:basedOn w:val="DefaultParagraphFont"/>
    <w:link w:val="Heading5"/>
    <w:uiPriority w:val="9"/>
    <w:rsid w:val="00B258E6"/>
    <w:rPr>
      <w:rFonts w:eastAsiaTheme="majorEastAsia" w:cstheme="majorBidi"/>
      <w:color w:val="0F4761" w:themeColor="accent1" w:themeShade="BF"/>
      <w:kern w:val="0"/>
      <w:sz w:val="24"/>
      <w:szCs w:val="24"/>
      <w:lang w:eastAsia="sl-SI"/>
    </w:rPr>
  </w:style>
  <w:style w:type="character" w:customStyle="1" w:styleId="Heading6Char">
    <w:name w:val="Heading 6 Char"/>
    <w:basedOn w:val="DefaultParagraphFont"/>
    <w:link w:val="Heading6"/>
    <w:uiPriority w:val="9"/>
    <w:semiHidden/>
    <w:rsid w:val="00B258E6"/>
    <w:rPr>
      <w:rFonts w:eastAsiaTheme="majorEastAsia" w:cstheme="majorBidi"/>
      <w:i/>
      <w:iCs/>
      <w:color w:val="595959" w:themeColor="text1" w:themeTint="A6"/>
      <w:kern w:val="0"/>
      <w:sz w:val="24"/>
      <w:szCs w:val="24"/>
      <w:lang w:eastAsia="sl-SI"/>
    </w:rPr>
  </w:style>
  <w:style w:type="character" w:customStyle="1" w:styleId="Heading7Char">
    <w:name w:val="Heading 7 Char"/>
    <w:basedOn w:val="DefaultParagraphFont"/>
    <w:link w:val="Heading7"/>
    <w:uiPriority w:val="9"/>
    <w:semiHidden/>
    <w:rsid w:val="00B258E6"/>
    <w:rPr>
      <w:rFonts w:eastAsiaTheme="majorEastAsia" w:cstheme="majorBidi"/>
      <w:color w:val="595959" w:themeColor="text1" w:themeTint="A6"/>
      <w:kern w:val="0"/>
      <w:sz w:val="24"/>
      <w:szCs w:val="24"/>
      <w:lang w:eastAsia="sl-SI"/>
    </w:rPr>
  </w:style>
  <w:style w:type="character" w:customStyle="1" w:styleId="Heading8Char">
    <w:name w:val="Heading 8 Char"/>
    <w:basedOn w:val="DefaultParagraphFont"/>
    <w:link w:val="Heading8"/>
    <w:uiPriority w:val="9"/>
    <w:semiHidden/>
    <w:rsid w:val="00B258E6"/>
    <w:rPr>
      <w:rFonts w:eastAsiaTheme="majorEastAsia" w:cstheme="majorBidi"/>
      <w:i/>
      <w:iCs/>
      <w:color w:val="272727" w:themeColor="text1" w:themeTint="D8"/>
      <w:kern w:val="0"/>
      <w:sz w:val="24"/>
      <w:szCs w:val="24"/>
      <w:lang w:eastAsia="sl-SI"/>
    </w:rPr>
  </w:style>
  <w:style w:type="character" w:customStyle="1" w:styleId="Heading9Char">
    <w:name w:val="Heading 9 Char"/>
    <w:basedOn w:val="DefaultParagraphFont"/>
    <w:link w:val="Heading9"/>
    <w:uiPriority w:val="9"/>
    <w:semiHidden/>
    <w:rsid w:val="00B258E6"/>
    <w:rPr>
      <w:rFonts w:eastAsiaTheme="majorEastAsia" w:cstheme="majorBidi"/>
      <w:color w:val="272727" w:themeColor="text1" w:themeTint="D8"/>
      <w:kern w:val="0"/>
      <w:sz w:val="24"/>
      <w:szCs w:val="24"/>
      <w:lang w:eastAsia="sl-SI"/>
    </w:rPr>
  </w:style>
  <w:style w:type="paragraph" w:styleId="Subtitle">
    <w:name w:val="Subtitle"/>
    <w:basedOn w:val="Normal"/>
    <w:next w:val="Normal"/>
    <w:link w:val="SubtitleChar"/>
    <w:uiPriority w:val="11"/>
    <w:qFormat/>
    <w:rsid w:val="00B258E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8E6"/>
    <w:rPr>
      <w:rFonts w:eastAsiaTheme="majorEastAsia" w:cstheme="majorBidi"/>
      <w:color w:val="595959" w:themeColor="text1" w:themeTint="A6"/>
      <w:spacing w:val="15"/>
      <w:kern w:val="0"/>
      <w:sz w:val="28"/>
      <w:szCs w:val="28"/>
      <w:lang w:eastAsia="sl-SI"/>
    </w:rPr>
  </w:style>
  <w:style w:type="paragraph" w:styleId="Quote">
    <w:name w:val="Quote"/>
    <w:basedOn w:val="Normal"/>
    <w:next w:val="Normal"/>
    <w:link w:val="QuoteChar"/>
    <w:uiPriority w:val="29"/>
    <w:qFormat/>
    <w:rsid w:val="00B258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58E6"/>
    <w:rPr>
      <w:rFonts w:ascii="Times New Roman" w:eastAsia="PMingLiU" w:hAnsi="Times New Roman" w:cs="Times New Roman"/>
      <w:i/>
      <w:iCs/>
      <w:color w:val="404040" w:themeColor="text1" w:themeTint="BF"/>
      <w:kern w:val="0"/>
      <w:sz w:val="24"/>
      <w:szCs w:val="24"/>
      <w:lang w:eastAsia="sl-SI"/>
    </w:rPr>
  </w:style>
  <w:style w:type="paragraph" w:styleId="ListParagraph">
    <w:name w:val="List Paragraph"/>
    <w:basedOn w:val="Normal"/>
    <w:uiPriority w:val="34"/>
    <w:qFormat/>
    <w:rsid w:val="00B258E6"/>
    <w:pPr>
      <w:ind w:left="720"/>
      <w:contextualSpacing/>
    </w:pPr>
  </w:style>
  <w:style w:type="character" w:styleId="IntenseEmphasis">
    <w:name w:val="Intense Emphasis"/>
    <w:basedOn w:val="DefaultParagraphFont"/>
    <w:uiPriority w:val="21"/>
    <w:qFormat/>
    <w:rsid w:val="00B258E6"/>
    <w:rPr>
      <w:i/>
      <w:iCs/>
      <w:color w:val="0F4761" w:themeColor="accent1" w:themeShade="BF"/>
    </w:rPr>
  </w:style>
  <w:style w:type="paragraph" w:styleId="IntenseQuote">
    <w:name w:val="Intense Quote"/>
    <w:basedOn w:val="Normal"/>
    <w:next w:val="Normal"/>
    <w:link w:val="IntenseQuoteChar"/>
    <w:uiPriority w:val="30"/>
    <w:qFormat/>
    <w:rsid w:val="00B25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8E6"/>
    <w:rPr>
      <w:rFonts w:ascii="Times New Roman" w:eastAsia="PMingLiU" w:hAnsi="Times New Roman" w:cs="Times New Roman"/>
      <w:i/>
      <w:iCs/>
      <w:color w:val="0F4761" w:themeColor="accent1" w:themeShade="BF"/>
      <w:kern w:val="0"/>
      <w:sz w:val="24"/>
      <w:szCs w:val="24"/>
      <w:lang w:eastAsia="sl-SI"/>
    </w:rPr>
  </w:style>
  <w:style w:type="character" w:styleId="IntenseReference">
    <w:name w:val="Intense Reference"/>
    <w:basedOn w:val="DefaultParagraphFont"/>
    <w:uiPriority w:val="32"/>
    <w:qFormat/>
    <w:rsid w:val="00B258E6"/>
    <w:rPr>
      <w:b/>
      <w:bCs/>
      <w:smallCaps/>
      <w:color w:val="0F4761" w:themeColor="accent1" w:themeShade="BF"/>
      <w:spacing w:val="5"/>
    </w:rPr>
  </w:style>
  <w:style w:type="paragraph" w:customStyle="1" w:styleId="BulletNum">
    <w:name w:val="Bullet Num"/>
    <w:basedOn w:val="Normal"/>
    <w:link w:val="BulletNumChar"/>
    <w:qFormat/>
    <w:rsid w:val="00B258E6"/>
    <w:pPr>
      <w:numPr>
        <w:numId w:val="27"/>
      </w:numPr>
      <w:spacing w:before="0"/>
      <w:outlineLvl w:val="3"/>
    </w:pPr>
    <w:rPr>
      <w:rFonts w:eastAsia="Times New Roman"/>
      <w:lang w:eastAsia="en-US"/>
    </w:rPr>
  </w:style>
  <w:style w:type="character" w:customStyle="1" w:styleId="BulletNumChar">
    <w:name w:val="Bullet Num Char"/>
    <w:basedOn w:val="DefaultParagraphFont"/>
    <w:link w:val="BulletNum"/>
    <w:rsid w:val="00B258E6"/>
    <w:rPr>
      <w:rFonts w:ascii="Times New Roman" w:eastAsia="Times New Roman" w:hAnsi="Times New Roman" w:cs="Times New Roman"/>
      <w:kern w:val="0"/>
      <w:sz w:val="24"/>
      <w:szCs w:val="24"/>
    </w:rPr>
  </w:style>
  <w:style w:type="numbering" w:customStyle="1" w:styleId="APANumberedList">
    <w:name w:val="APA Numbered List"/>
    <w:uiPriority w:val="99"/>
    <w:rsid w:val="00B258E6"/>
    <w:pPr>
      <w:numPr>
        <w:numId w:val="17"/>
      </w:numPr>
    </w:pPr>
  </w:style>
  <w:style w:type="character" w:styleId="Strong">
    <w:name w:val="Strong"/>
    <w:basedOn w:val="DefaultParagraphFont"/>
    <w:uiPriority w:val="22"/>
    <w:qFormat/>
    <w:rsid w:val="00B258E6"/>
    <w:rPr>
      <w:b/>
      <w:bCs/>
    </w:rPr>
  </w:style>
  <w:style w:type="paragraph" w:styleId="Bibliography">
    <w:name w:val="Bibliography"/>
    <w:basedOn w:val="Normal"/>
    <w:next w:val="Normal"/>
    <w:uiPriority w:val="37"/>
    <w:unhideWhenUsed/>
    <w:rsid w:val="00B258E6"/>
  </w:style>
  <w:style w:type="table" w:styleId="GridTable1Light">
    <w:name w:val="Grid Table 1 Light"/>
    <w:basedOn w:val="TableNormal"/>
    <w:uiPriority w:val="46"/>
    <w:rsid w:val="00B258E6"/>
    <w:pPr>
      <w:spacing w:before="0"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B258E6"/>
    <w:pPr>
      <w:spacing w:before="0"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258E6"/>
    <w:pPr>
      <w:spacing w:before="0"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58E6"/>
    <w:pPr>
      <w:spacing w:before="0"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B258E6"/>
    <w:pPr>
      <w:spacing w:before="0"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B258E6"/>
    <w:pPr>
      <w:spacing w:before="0"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B258E6"/>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B258E6"/>
    <w:rPr>
      <w:rFonts w:ascii="Times New Roman" w:eastAsia="PMingLiU" w:hAnsi="Times New Roman" w:cs="Times New Roman"/>
      <w:kern w:val="0"/>
      <w:sz w:val="20"/>
      <w:szCs w:val="20"/>
      <w:lang w:eastAsia="sl-SI"/>
    </w:rPr>
  </w:style>
  <w:style w:type="character" w:styleId="FootnoteReference">
    <w:name w:val="footnote reference"/>
    <w:basedOn w:val="DefaultParagraphFont"/>
    <w:uiPriority w:val="99"/>
    <w:semiHidden/>
    <w:unhideWhenUsed/>
    <w:rsid w:val="00B258E6"/>
    <w:rPr>
      <w:vertAlign w:val="superscript"/>
    </w:rPr>
  </w:style>
  <w:style w:type="character" w:styleId="Emphasis">
    <w:name w:val="Emphasis"/>
    <w:basedOn w:val="DefaultParagraphFont"/>
    <w:uiPriority w:val="20"/>
    <w:qFormat/>
    <w:rsid w:val="00CE7C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0166">
      <w:bodyDiv w:val="1"/>
      <w:marLeft w:val="0"/>
      <w:marRight w:val="0"/>
      <w:marTop w:val="0"/>
      <w:marBottom w:val="0"/>
      <w:divBdr>
        <w:top w:val="none" w:sz="0" w:space="0" w:color="auto"/>
        <w:left w:val="none" w:sz="0" w:space="0" w:color="auto"/>
        <w:bottom w:val="none" w:sz="0" w:space="0" w:color="auto"/>
        <w:right w:val="none" w:sz="0" w:space="0" w:color="auto"/>
      </w:divBdr>
    </w:div>
    <w:div w:id="111176483">
      <w:bodyDiv w:val="1"/>
      <w:marLeft w:val="0"/>
      <w:marRight w:val="0"/>
      <w:marTop w:val="0"/>
      <w:marBottom w:val="0"/>
      <w:divBdr>
        <w:top w:val="none" w:sz="0" w:space="0" w:color="auto"/>
        <w:left w:val="none" w:sz="0" w:space="0" w:color="auto"/>
        <w:bottom w:val="none" w:sz="0" w:space="0" w:color="auto"/>
        <w:right w:val="none" w:sz="0" w:space="0" w:color="auto"/>
      </w:divBdr>
    </w:div>
    <w:div w:id="130445861">
      <w:bodyDiv w:val="1"/>
      <w:marLeft w:val="0"/>
      <w:marRight w:val="0"/>
      <w:marTop w:val="0"/>
      <w:marBottom w:val="0"/>
      <w:divBdr>
        <w:top w:val="none" w:sz="0" w:space="0" w:color="auto"/>
        <w:left w:val="none" w:sz="0" w:space="0" w:color="auto"/>
        <w:bottom w:val="none" w:sz="0" w:space="0" w:color="auto"/>
        <w:right w:val="none" w:sz="0" w:space="0" w:color="auto"/>
      </w:divBdr>
    </w:div>
    <w:div w:id="133371016">
      <w:bodyDiv w:val="1"/>
      <w:marLeft w:val="0"/>
      <w:marRight w:val="0"/>
      <w:marTop w:val="0"/>
      <w:marBottom w:val="0"/>
      <w:divBdr>
        <w:top w:val="none" w:sz="0" w:space="0" w:color="auto"/>
        <w:left w:val="none" w:sz="0" w:space="0" w:color="auto"/>
        <w:bottom w:val="none" w:sz="0" w:space="0" w:color="auto"/>
        <w:right w:val="none" w:sz="0" w:space="0" w:color="auto"/>
      </w:divBdr>
    </w:div>
    <w:div w:id="160120769">
      <w:bodyDiv w:val="1"/>
      <w:marLeft w:val="0"/>
      <w:marRight w:val="0"/>
      <w:marTop w:val="0"/>
      <w:marBottom w:val="0"/>
      <w:divBdr>
        <w:top w:val="none" w:sz="0" w:space="0" w:color="auto"/>
        <w:left w:val="none" w:sz="0" w:space="0" w:color="auto"/>
        <w:bottom w:val="none" w:sz="0" w:space="0" w:color="auto"/>
        <w:right w:val="none" w:sz="0" w:space="0" w:color="auto"/>
      </w:divBdr>
    </w:div>
    <w:div w:id="183519390">
      <w:bodyDiv w:val="1"/>
      <w:marLeft w:val="0"/>
      <w:marRight w:val="0"/>
      <w:marTop w:val="0"/>
      <w:marBottom w:val="0"/>
      <w:divBdr>
        <w:top w:val="none" w:sz="0" w:space="0" w:color="auto"/>
        <w:left w:val="none" w:sz="0" w:space="0" w:color="auto"/>
        <w:bottom w:val="none" w:sz="0" w:space="0" w:color="auto"/>
        <w:right w:val="none" w:sz="0" w:space="0" w:color="auto"/>
      </w:divBdr>
    </w:div>
    <w:div w:id="197667388">
      <w:bodyDiv w:val="1"/>
      <w:marLeft w:val="0"/>
      <w:marRight w:val="0"/>
      <w:marTop w:val="0"/>
      <w:marBottom w:val="0"/>
      <w:divBdr>
        <w:top w:val="none" w:sz="0" w:space="0" w:color="auto"/>
        <w:left w:val="none" w:sz="0" w:space="0" w:color="auto"/>
        <w:bottom w:val="none" w:sz="0" w:space="0" w:color="auto"/>
        <w:right w:val="none" w:sz="0" w:space="0" w:color="auto"/>
      </w:divBdr>
    </w:div>
    <w:div w:id="207762712">
      <w:bodyDiv w:val="1"/>
      <w:marLeft w:val="0"/>
      <w:marRight w:val="0"/>
      <w:marTop w:val="0"/>
      <w:marBottom w:val="0"/>
      <w:divBdr>
        <w:top w:val="none" w:sz="0" w:space="0" w:color="auto"/>
        <w:left w:val="none" w:sz="0" w:space="0" w:color="auto"/>
        <w:bottom w:val="none" w:sz="0" w:space="0" w:color="auto"/>
        <w:right w:val="none" w:sz="0" w:space="0" w:color="auto"/>
      </w:divBdr>
    </w:div>
    <w:div w:id="212933882">
      <w:bodyDiv w:val="1"/>
      <w:marLeft w:val="0"/>
      <w:marRight w:val="0"/>
      <w:marTop w:val="0"/>
      <w:marBottom w:val="0"/>
      <w:divBdr>
        <w:top w:val="none" w:sz="0" w:space="0" w:color="auto"/>
        <w:left w:val="none" w:sz="0" w:space="0" w:color="auto"/>
        <w:bottom w:val="none" w:sz="0" w:space="0" w:color="auto"/>
        <w:right w:val="none" w:sz="0" w:space="0" w:color="auto"/>
      </w:divBdr>
    </w:div>
    <w:div w:id="215899019">
      <w:bodyDiv w:val="1"/>
      <w:marLeft w:val="0"/>
      <w:marRight w:val="0"/>
      <w:marTop w:val="0"/>
      <w:marBottom w:val="0"/>
      <w:divBdr>
        <w:top w:val="none" w:sz="0" w:space="0" w:color="auto"/>
        <w:left w:val="none" w:sz="0" w:space="0" w:color="auto"/>
        <w:bottom w:val="none" w:sz="0" w:space="0" w:color="auto"/>
        <w:right w:val="none" w:sz="0" w:space="0" w:color="auto"/>
      </w:divBdr>
    </w:div>
    <w:div w:id="218977441">
      <w:bodyDiv w:val="1"/>
      <w:marLeft w:val="0"/>
      <w:marRight w:val="0"/>
      <w:marTop w:val="0"/>
      <w:marBottom w:val="0"/>
      <w:divBdr>
        <w:top w:val="none" w:sz="0" w:space="0" w:color="auto"/>
        <w:left w:val="none" w:sz="0" w:space="0" w:color="auto"/>
        <w:bottom w:val="none" w:sz="0" w:space="0" w:color="auto"/>
        <w:right w:val="none" w:sz="0" w:space="0" w:color="auto"/>
      </w:divBdr>
    </w:div>
    <w:div w:id="253822623">
      <w:bodyDiv w:val="1"/>
      <w:marLeft w:val="0"/>
      <w:marRight w:val="0"/>
      <w:marTop w:val="0"/>
      <w:marBottom w:val="0"/>
      <w:divBdr>
        <w:top w:val="none" w:sz="0" w:space="0" w:color="auto"/>
        <w:left w:val="none" w:sz="0" w:space="0" w:color="auto"/>
        <w:bottom w:val="none" w:sz="0" w:space="0" w:color="auto"/>
        <w:right w:val="none" w:sz="0" w:space="0" w:color="auto"/>
      </w:divBdr>
    </w:div>
    <w:div w:id="260722656">
      <w:bodyDiv w:val="1"/>
      <w:marLeft w:val="0"/>
      <w:marRight w:val="0"/>
      <w:marTop w:val="0"/>
      <w:marBottom w:val="0"/>
      <w:divBdr>
        <w:top w:val="none" w:sz="0" w:space="0" w:color="auto"/>
        <w:left w:val="none" w:sz="0" w:space="0" w:color="auto"/>
        <w:bottom w:val="none" w:sz="0" w:space="0" w:color="auto"/>
        <w:right w:val="none" w:sz="0" w:space="0" w:color="auto"/>
      </w:divBdr>
    </w:div>
    <w:div w:id="263005162">
      <w:bodyDiv w:val="1"/>
      <w:marLeft w:val="0"/>
      <w:marRight w:val="0"/>
      <w:marTop w:val="0"/>
      <w:marBottom w:val="0"/>
      <w:divBdr>
        <w:top w:val="none" w:sz="0" w:space="0" w:color="auto"/>
        <w:left w:val="none" w:sz="0" w:space="0" w:color="auto"/>
        <w:bottom w:val="none" w:sz="0" w:space="0" w:color="auto"/>
        <w:right w:val="none" w:sz="0" w:space="0" w:color="auto"/>
      </w:divBdr>
    </w:div>
    <w:div w:id="266625236">
      <w:bodyDiv w:val="1"/>
      <w:marLeft w:val="0"/>
      <w:marRight w:val="0"/>
      <w:marTop w:val="0"/>
      <w:marBottom w:val="0"/>
      <w:divBdr>
        <w:top w:val="none" w:sz="0" w:space="0" w:color="auto"/>
        <w:left w:val="none" w:sz="0" w:space="0" w:color="auto"/>
        <w:bottom w:val="none" w:sz="0" w:space="0" w:color="auto"/>
        <w:right w:val="none" w:sz="0" w:space="0" w:color="auto"/>
      </w:divBdr>
    </w:div>
    <w:div w:id="296029332">
      <w:bodyDiv w:val="1"/>
      <w:marLeft w:val="0"/>
      <w:marRight w:val="0"/>
      <w:marTop w:val="0"/>
      <w:marBottom w:val="0"/>
      <w:divBdr>
        <w:top w:val="none" w:sz="0" w:space="0" w:color="auto"/>
        <w:left w:val="none" w:sz="0" w:space="0" w:color="auto"/>
        <w:bottom w:val="none" w:sz="0" w:space="0" w:color="auto"/>
        <w:right w:val="none" w:sz="0" w:space="0" w:color="auto"/>
      </w:divBdr>
    </w:div>
    <w:div w:id="306861592">
      <w:bodyDiv w:val="1"/>
      <w:marLeft w:val="0"/>
      <w:marRight w:val="0"/>
      <w:marTop w:val="0"/>
      <w:marBottom w:val="0"/>
      <w:divBdr>
        <w:top w:val="none" w:sz="0" w:space="0" w:color="auto"/>
        <w:left w:val="none" w:sz="0" w:space="0" w:color="auto"/>
        <w:bottom w:val="none" w:sz="0" w:space="0" w:color="auto"/>
        <w:right w:val="none" w:sz="0" w:space="0" w:color="auto"/>
      </w:divBdr>
    </w:div>
    <w:div w:id="313339018">
      <w:bodyDiv w:val="1"/>
      <w:marLeft w:val="0"/>
      <w:marRight w:val="0"/>
      <w:marTop w:val="0"/>
      <w:marBottom w:val="0"/>
      <w:divBdr>
        <w:top w:val="none" w:sz="0" w:space="0" w:color="auto"/>
        <w:left w:val="none" w:sz="0" w:space="0" w:color="auto"/>
        <w:bottom w:val="none" w:sz="0" w:space="0" w:color="auto"/>
        <w:right w:val="none" w:sz="0" w:space="0" w:color="auto"/>
      </w:divBdr>
    </w:div>
    <w:div w:id="315228794">
      <w:bodyDiv w:val="1"/>
      <w:marLeft w:val="0"/>
      <w:marRight w:val="0"/>
      <w:marTop w:val="0"/>
      <w:marBottom w:val="0"/>
      <w:divBdr>
        <w:top w:val="none" w:sz="0" w:space="0" w:color="auto"/>
        <w:left w:val="none" w:sz="0" w:space="0" w:color="auto"/>
        <w:bottom w:val="none" w:sz="0" w:space="0" w:color="auto"/>
        <w:right w:val="none" w:sz="0" w:space="0" w:color="auto"/>
      </w:divBdr>
    </w:div>
    <w:div w:id="323507091">
      <w:bodyDiv w:val="1"/>
      <w:marLeft w:val="0"/>
      <w:marRight w:val="0"/>
      <w:marTop w:val="0"/>
      <w:marBottom w:val="0"/>
      <w:divBdr>
        <w:top w:val="none" w:sz="0" w:space="0" w:color="auto"/>
        <w:left w:val="none" w:sz="0" w:space="0" w:color="auto"/>
        <w:bottom w:val="none" w:sz="0" w:space="0" w:color="auto"/>
        <w:right w:val="none" w:sz="0" w:space="0" w:color="auto"/>
      </w:divBdr>
    </w:div>
    <w:div w:id="355353433">
      <w:bodyDiv w:val="1"/>
      <w:marLeft w:val="0"/>
      <w:marRight w:val="0"/>
      <w:marTop w:val="0"/>
      <w:marBottom w:val="0"/>
      <w:divBdr>
        <w:top w:val="none" w:sz="0" w:space="0" w:color="auto"/>
        <w:left w:val="none" w:sz="0" w:space="0" w:color="auto"/>
        <w:bottom w:val="none" w:sz="0" w:space="0" w:color="auto"/>
        <w:right w:val="none" w:sz="0" w:space="0" w:color="auto"/>
      </w:divBdr>
    </w:div>
    <w:div w:id="355498660">
      <w:bodyDiv w:val="1"/>
      <w:marLeft w:val="0"/>
      <w:marRight w:val="0"/>
      <w:marTop w:val="0"/>
      <w:marBottom w:val="0"/>
      <w:divBdr>
        <w:top w:val="none" w:sz="0" w:space="0" w:color="auto"/>
        <w:left w:val="none" w:sz="0" w:space="0" w:color="auto"/>
        <w:bottom w:val="none" w:sz="0" w:space="0" w:color="auto"/>
        <w:right w:val="none" w:sz="0" w:space="0" w:color="auto"/>
      </w:divBdr>
    </w:div>
    <w:div w:id="417874675">
      <w:bodyDiv w:val="1"/>
      <w:marLeft w:val="0"/>
      <w:marRight w:val="0"/>
      <w:marTop w:val="0"/>
      <w:marBottom w:val="0"/>
      <w:divBdr>
        <w:top w:val="none" w:sz="0" w:space="0" w:color="auto"/>
        <w:left w:val="none" w:sz="0" w:space="0" w:color="auto"/>
        <w:bottom w:val="none" w:sz="0" w:space="0" w:color="auto"/>
        <w:right w:val="none" w:sz="0" w:space="0" w:color="auto"/>
      </w:divBdr>
    </w:div>
    <w:div w:id="431242644">
      <w:bodyDiv w:val="1"/>
      <w:marLeft w:val="0"/>
      <w:marRight w:val="0"/>
      <w:marTop w:val="0"/>
      <w:marBottom w:val="0"/>
      <w:divBdr>
        <w:top w:val="none" w:sz="0" w:space="0" w:color="auto"/>
        <w:left w:val="none" w:sz="0" w:space="0" w:color="auto"/>
        <w:bottom w:val="none" w:sz="0" w:space="0" w:color="auto"/>
        <w:right w:val="none" w:sz="0" w:space="0" w:color="auto"/>
      </w:divBdr>
    </w:div>
    <w:div w:id="433941345">
      <w:bodyDiv w:val="1"/>
      <w:marLeft w:val="0"/>
      <w:marRight w:val="0"/>
      <w:marTop w:val="0"/>
      <w:marBottom w:val="0"/>
      <w:divBdr>
        <w:top w:val="none" w:sz="0" w:space="0" w:color="auto"/>
        <w:left w:val="none" w:sz="0" w:space="0" w:color="auto"/>
        <w:bottom w:val="none" w:sz="0" w:space="0" w:color="auto"/>
        <w:right w:val="none" w:sz="0" w:space="0" w:color="auto"/>
      </w:divBdr>
    </w:div>
    <w:div w:id="443693453">
      <w:bodyDiv w:val="1"/>
      <w:marLeft w:val="0"/>
      <w:marRight w:val="0"/>
      <w:marTop w:val="0"/>
      <w:marBottom w:val="0"/>
      <w:divBdr>
        <w:top w:val="none" w:sz="0" w:space="0" w:color="auto"/>
        <w:left w:val="none" w:sz="0" w:space="0" w:color="auto"/>
        <w:bottom w:val="none" w:sz="0" w:space="0" w:color="auto"/>
        <w:right w:val="none" w:sz="0" w:space="0" w:color="auto"/>
      </w:divBdr>
    </w:div>
    <w:div w:id="461995703">
      <w:bodyDiv w:val="1"/>
      <w:marLeft w:val="0"/>
      <w:marRight w:val="0"/>
      <w:marTop w:val="0"/>
      <w:marBottom w:val="0"/>
      <w:divBdr>
        <w:top w:val="none" w:sz="0" w:space="0" w:color="auto"/>
        <w:left w:val="none" w:sz="0" w:space="0" w:color="auto"/>
        <w:bottom w:val="none" w:sz="0" w:space="0" w:color="auto"/>
        <w:right w:val="none" w:sz="0" w:space="0" w:color="auto"/>
      </w:divBdr>
    </w:div>
    <w:div w:id="463935249">
      <w:bodyDiv w:val="1"/>
      <w:marLeft w:val="0"/>
      <w:marRight w:val="0"/>
      <w:marTop w:val="0"/>
      <w:marBottom w:val="0"/>
      <w:divBdr>
        <w:top w:val="none" w:sz="0" w:space="0" w:color="auto"/>
        <w:left w:val="none" w:sz="0" w:space="0" w:color="auto"/>
        <w:bottom w:val="none" w:sz="0" w:space="0" w:color="auto"/>
        <w:right w:val="none" w:sz="0" w:space="0" w:color="auto"/>
      </w:divBdr>
    </w:div>
    <w:div w:id="487091648">
      <w:bodyDiv w:val="1"/>
      <w:marLeft w:val="0"/>
      <w:marRight w:val="0"/>
      <w:marTop w:val="0"/>
      <w:marBottom w:val="0"/>
      <w:divBdr>
        <w:top w:val="none" w:sz="0" w:space="0" w:color="auto"/>
        <w:left w:val="none" w:sz="0" w:space="0" w:color="auto"/>
        <w:bottom w:val="none" w:sz="0" w:space="0" w:color="auto"/>
        <w:right w:val="none" w:sz="0" w:space="0" w:color="auto"/>
      </w:divBdr>
    </w:div>
    <w:div w:id="525410090">
      <w:bodyDiv w:val="1"/>
      <w:marLeft w:val="0"/>
      <w:marRight w:val="0"/>
      <w:marTop w:val="0"/>
      <w:marBottom w:val="0"/>
      <w:divBdr>
        <w:top w:val="none" w:sz="0" w:space="0" w:color="auto"/>
        <w:left w:val="none" w:sz="0" w:space="0" w:color="auto"/>
        <w:bottom w:val="none" w:sz="0" w:space="0" w:color="auto"/>
        <w:right w:val="none" w:sz="0" w:space="0" w:color="auto"/>
      </w:divBdr>
    </w:div>
    <w:div w:id="527064897">
      <w:bodyDiv w:val="1"/>
      <w:marLeft w:val="0"/>
      <w:marRight w:val="0"/>
      <w:marTop w:val="0"/>
      <w:marBottom w:val="0"/>
      <w:divBdr>
        <w:top w:val="none" w:sz="0" w:space="0" w:color="auto"/>
        <w:left w:val="none" w:sz="0" w:space="0" w:color="auto"/>
        <w:bottom w:val="none" w:sz="0" w:space="0" w:color="auto"/>
        <w:right w:val="none" w:sz="0" w:space="0" w:color="auto"/>
      </w:divBdr>
    </w:div>
    <w:div w:id="554783637">
      <w:bodyDiv w:val="1"/>
      <w:marLeft w:val="0"/>
      <w:marRight w:val="0"/>
      <w:marTop w:val="0"/>
      <w:marBottom w:val="0"/>
      <w:divBdr>
        <w:top w:val="none" w:sz="0" w:space="0" w:color="auto"/>
        <w:left w:val="none" w:sz="0" w:space="0" w:color="auto"/>
        <w:bottom w:val="none" w:sz="0" w:space="0" w:color="auto"/>
        <w:right w:val="none" w:sz="0" w:space="0" w:color="auto"/>
      </w:divBdr>
    </w:div>
    <w:div w:id="555090062">
      <w:bodyDiv w:val="1"/>
      <w:marLeft w:val="0"/>
      <w:marRight w:val="0"/>
      <w:marTop w:val="0"/>
      <w:marBottom w:val="0"/>
      <w:divBdr>
        <w:top w:val="none" w:sz="0" w:space="0" w:color="auto"/>
        <w:left w:val="none" w:sz="0" w:space="0" w:color="auto"/>
        <w:bottom w:val="none" w:sz="0" w:space="0" w:color="auto"/>
        <w:right w:val="none" w:sz="0" w:space="0" w:color="auto"/>
      </w:divBdr>
    </w:div>
    <w:div w:id="608781356">
      <w:bodyDiv w:val="1"/>
      <w:marLeft w:val="0"/>
      <w:marRight w:val="0"/>
      <w:marTop w:val="0"/>
      <w:marBottom w:val="0"/>
      <w:divBdr>
        <w:top w:val="none" w:sz="0" w:space="0" w:color="auto"/>
        <w:left w:val="none" w:sz="0" w:space="0" w:color="auto"/>
        <w:bottom w:val="none" w:sz="0" w:space="0" w:color="auto"/>
        <w:right w:val="none" w:sz="0" w:space="0" w:color="auto"/>
      </w:divBdr>
    </w:div>
    <w:div w:id="611941808">
      <w:bodyDiv w:val="1"/>
      <w:marLeft w:val="0"/>
      <w:marRight w:val="0"/>
      <w:marTop w:val="0"/>
      <w:marBottom w:val="0"/>
      <w:divBdr>
        <w:top w:val="none" w:sz="0" w:space="0" w:color="auto"/>
        <w:left w:val="none" w:sz="0" w:space="0" w:color="auto"/>
        <w:bottom w:val="none" w:sz="0" w:space="0" w:color="auto"/>
        <w:right w:val="none" w:sz="0" w:space="0" w:color="auto"/>
      </w:divBdr>
    </w:div>
    <w:div w:id="678698814">
      <w:bodyDiv w:val="1"/>
      <w:marLeft w:val="0"/>
      <w:marRight w:val="0"/>
      <w:marTop w:val="0"/>
      <w:marBottom w:val="0"/>
      <w:divBdr>
        <w:top w:val="none" w:sz="0" w:space="0" w:color="auto"/>
        <w:left w:val="none" w:sz="0" w:space="0" w:color="auto"/>
        <w:bottom w:val="none" w:sz="0" w:space="0" w:color="auto"/>
        <w:right w:val="none" w:sz="0" w:space="0" w:color="auto"/>
      </w:divBdr>
    </w:div>
    <w:div w:id="681011896">
      <w:bodyDiv w:val="1"/>
      <w:marLeft w:val="0"/>
      <w:marRight w:val="0"/>
      <w:marTop w:val="0"/>
      <w:marBottom w:val="0"/>
      <w:divBdr>
        <w:top w:val="none" w:sz="0" w:space="0" w:color="auto"/>
        <w:left w:val="none" w:sz="0" w:space="0" w:color="auto"/>
        <w:bottom w:val="none" w:sz="0" w:space="0" w:color="auto"/>
        <w:right w:val="none" w:sz="0" w:space="0" w:color="auto"/>
      </w:divBdr>
    </w:div>
    <w:div w:id="754671627">
      <w:bodyDiv w:val="1"/>
      <w:marLeft w:val="0"/>
      <w:marRight w:val="0"/>
      <w:marTop w:val="0"/>
      <w:marBottom w:val="0"/>
      <w:divBdr>
        <w:top w:val="none" w:sz="0" w:space="0" w:color="auto"/>
        <w:left w:val="none" w:sz="0" w:space="0" w:color="auto"/>
        <w:bottom w:val="none" w:sz="0" w:space="0" w:color="auto"/>
        <w:right w:val="none" w:sz="0" w:space="0" w:color="auto"/>
      </w:divBdr>
    </w:div>
    <w:div w:id="776288651">
      <w:bodyDiv w:val="1"/>
      <w:marLeft w:val="0"/>
      <w:marRight w:val="0"/>
      <w:marTop w:val="0"/>
      <w:marBottom w:val="0"/>
      <w:divBdr>
        <w:top w:val="none" w:sz="0" w:space="0" w:color="auto"/>
        <w:left w:val="none" w:sz="0" w:space="0" w:color="auto"/>
        <w:bottom w:val="none" w:sz="0" w:space="0" w:color="auto"/>
        <w:right w:val="none" w:sz="0" w:space="0" w:color="auto"/>
      </w:divBdr>
    </w:div>
    <w:div w:id="819075756">
      <w:bodyDiv w:val="1"/>
      <w:marLeft w:val="0"/>
      <w:marRight w:val="0"/>
      <w:marTop w:val="0"/>
      <w:marBottom w:val="0"/>
      <w:divBdr>
        <w:top w:val="none" w:sz="0" w:space="0" w:color="auto"/>
        <w:left w:val="none" w:sz="0" w:space="0" w:color="auto"/>
        <w:bottom w:val="none" w:sz="0" w:space="0" w:color="auto"/>
        <w:right w:val="none" w:sz="0" w:space="0" w:color="auto"/>
      </w:divBdr>
    </w:div>
    <w:div w:id="819342509">
      <w:bodyDiv w:val="1"/>
      <w:marLeft w:val="0"/>
      <w:marRight w:val="0"/>
      <w:marTop w:val="0"/>
      <w:marBottom w:val="0"/>
      <w:divBdr>
        <w:top w:val="none" w:sz="0" w:space="0" w:color="auto"/>
        <w:left w:val="none" w:sz="0" w:space="0" w:color="auto"/>
        <w:bottom w:val="none" w:sz="0" w:space="0" w:color="auto"/>
        <w:right w:val="none" w:sz="0" w:space="0" w:color="auto"/>
      </w:divBdr>
    </w:div>
    <w:div w:id="834566593">
      <w:bodyDiv w:val="1"/>
      <w:marLeft w:val="0"/>
      <w:marRight w:val="0"/>
      <w:marTop w:val="0"/>
      <w:marBottom w:val="0"/>
      <w:divBdr>
        <w:top w:val="none" w:sz="0" w:space="0" w:color="auto"/>
        <w:left w:val="none" w:sz="0" w:space="0" w:color="auto"/>
        <w:bottom w:val="none" w:sz="0" w:space="0" w:color="auto"/>
        <w:right w:val="none" w:sz="0" w:space="0" w:color="auto"/>
      </w:divBdr>
    </w:div>
    <w:div w:id="837572960">
      <w:bodyDiv w:val="1"/>
      <w:marLeft w:val="0"/>
      <w:marRight w:val="0"/>
      <w:marTop w:val="0"/>
      <w:marBottom w:val="0"/>
      <w:divBdr>
        <w:top w:val="none" w:sz="0" w:space="0" w:color="auto"/>
        <w:left w:val="none" w:sz="0" w:space="0" w:color="auto"/>
        <w:bottom w:val="none" w:sz="0" w:space="0" w:color="auto"/>
        <w:right w:val="none" w:sz="0" w:space="0" w:color="auto"/>
      </w:divBdr>
    </w:div>
    <w:div w:id="853037919">
      <w:bodyDiv w:val="1"/>
      <w:marLeft w:val="0"/>
      <w:marRight w:val="0"/>
      <w:marTop w:val="0"/>
      <w:marBottom w:val="0"/>
      <w:divBdr>
        <w:top w:val="none" w:sz="0" w:space="0" w:color="auto"/>
        <w:left w:val="none" w:sz="0" w:space="0" w:color="auto"/>
        <w:bottom w:val="none" w:sz="0" w:space="0" w:color="auto"/>
        <w:right w:val="none" w:sz="0" w:space="0" w:color="auto"/>
      </w:divBdr>
    </w:div>
    <w:div w:id="910117261">
      <w:bodyDiv w:val="1"/>
      <w:marLeft w:val="0"/>
      <w:marRight w:val="0"/>
      <w:marTop w:val="0"/>
      <w:marBottom w:val="0"/>
      <w:divBdr>
        <w:top w:val="none" w:sz="0" w:space="0" w:color="auto"/>
        <w:left w:val="none" w:sz="0" w:space="0" w:color="auto"/>
        <w:bottom w:val="none" w:sz="0" w:space="0" w:color="auto"/>
        <w:right w:val="none" w:sz="0" w:space="0" w:color="auto"/>
      </w:divBdr>
    </w:div>
    <w:div w:id="935209688">
      <w:bodyDiv w:val="1"/>
      <w:marLeft w:val="0"/>
      <w:marRight w:val="0"/>
      <w:marTop w:val="0"/>
      <w:marBottom w:val="0"/>
      <w:divBdr>
        <w:top w:val="none" w:sz="0" w:space="0" w:color="auto"/>
        <w:left w:val="none" w:sz="0" w:space="0" w:color="auto"/>
        <w:bottom w:val="none" w:sz="0" w:space="0" w:color="auto"/>
        <w:right w:val="none" w:sz="0" w:space="0" w:color="auto"/>
      </w:divBdr>
    </w:div>
    <w:div w:id="939216087">
      <w:bodyDiv w:val="1"/>
      <w:marLeft w:val="0"/>
      <w:marRight w:val="0"/>
      <w:marTop w:val="0"/>
      <w:marBottom w:val="0"/>
      <w:divBdr>
        <w:top w:val="none" w:sz="0" w:space="0" w:color="auto"/>
        <w:left w:val="none" w:sz="0" w:space="0" w:color="auto"/>
        <w:bottom w:val="none" w:sz="0" w:space="0" w:color="auto"/>
        <w:right w:val="none" w:sz="0" w:space="0" w:color="auto"/>
      </w:divBdr>
    </w:div>
    <w:div w:id="976253372">
      <w:bodyDiv w:val="1"/>
      <w:marLeft w:val="0"/>
      <w:marRight w:val="0"/>
      <w:marTop w:val="0"/>
      <w:marBottom w:val="0"/>
      <w:divBdr>
        <w:top w:val="none" w:sz="0" w:space="0" w:color="auto"/>
        <w:left w:val="none" w:sz="0" w:space="0" w:color="auto"/>
        <w:bottom w:val="none" w:sz="0" w:space="0" w:color="auto"/>
        <w:right w:val="none" w:sz="0" w:space="0" w:color="auto"/>
      </w:divBdr>
    </w:div>
    <w:div w:id="1018115452">
      <w:bodyDiv w:val="1"/>
      <w:marLeft w:val="0"/>
      <w:marRight w:val="0"/>
      <w:marTop w:val="0"/>
      <w:marBottom w:val="0"/>
      <w:divBdr>
        <w:top w:val="none" w:sz="0" w:space="0" w:color="auto"/>
        <w:left w:val="none" w:sz="0" w:space="0" w:color="auto"/>
        <w:bottom w:val="none" w:sz="0" w:space="0" w:color="auto"/>
        <w:right w:val="none" w:sz="0" w:space="0" w:color="auto"/>
      </w:divBdr>
    </w:div>
    <w:div w:id="1047610620">
      <w:bodyDiv w:val="1"/>
      <w:marLeft w:val="0"/>
      <w:marRight w:val="0"/>
      <w:marTop w:val="0"/>
      <w:marBottom w:val="0"/>
      <w:divBdr>
        <w:top w:val="none" w:sz="0" w:space="0" w:color="auto"/>
        <w:left w:val="none" w:sz="0" w:space="0" w:color="auto"/>
        <w:bottom w:val="none" w:sz="0" w:space="0" w:color="auto"/>
        <w:right w:val="none" w:sz="0" w:space="0" w:color="auto"/>
      </w:divBdr>
    </w:div>
    <w:div w:id="1073896092">
      <w:bodyDiv w:val="1"/>
      <w:marLeft w:val="0"/>
      <w:marRight w:val="0"/>
      <w:marTop w:val="0"/>
      <w:marBottom w:val="0"/>
      <w:divBdr>
        <w:top w:val="none" w:sz="0" w:space="0" w:color="auto"/>
        <w:left w:val="none" w:sz="0" w:space="0" w:color="auto"/>
        <w:bottom w:val="none" w:sz="0" w:space="0" w:color="auto"/>
        <w:right w:val="none" w:sz="0" w:space="0" w:color="auto"/>
      </w:divBdr>
    </w:div>
    <w:div w:id="1088774566">
      <w:bodyDiv w:val="1"/>
      <w:marLeft w:val="0"/>
      <w:marRight w:val="0"/>
      <w:marTop w:val="0"/>
      <w:marBottom w:val="0"/>
      <w:divBdr>
        <w:top w:val="none" w:sz="0" w:space="0" w:color="auto"/>
        <w:left w:val="none" w:sz="0" w:space="0" w:color="auto"/>
        <w:bottom w:val="none" w:sz="0" w:space="0" w:color="auto"/>
        <w:right w:val="none" w:sz="0" w:space="0" w:color="auto"/>
      </w:divBdr>
    </w:div>
    <w:div w:id="1089035461">
      <w:bodyDiv w:val="1"/>
      <w:marLeft w:val="0"/>
      <w:marRight w:val="0"/>
      <w:marTop w:val="0"/>
      <w:marBottom w:val="0"/>
      <w:divBdr>
        <w:top w:val="none" w:sz="0" w:space="0" w:color="auto"/>
        <w:left w:val="none" w:sz="0" w:space="0" w:color="auto"/>
        <w:bottom w:val="none" w:sz="0" w:space="0" w:color="auto"/>
        <w:right w:val="none" w:sz="0" w:space="0" w:color="auto"/>
      </w:divBdr>
    </w:div>
    <w:div w:id="1092163029">
      <w:bodyDiv w:val="1"/>
      <w:marLeft w:val="0"/>
      <w:marRight w:val="0"/>
      <w:marTop w:val="0"/>
      <w:marBottom w:val="0"/>
      <w:divBdr>
        <w:top w:val="none" w:sz="0" w:space="0" w:color="auto"/>
        <w:left w:val="none" w:sz="0" w:space="0" w:color="auto"/>
        <w:bottom w:val="none" w:sz="0" w:space="0" w:color="auto"/>
        <w:right w:val="none" w:sz="0" w:space="0" w:color="auto"/>
      </w:divBdr>
    </w:div>
    <w:div w:id="1098869661">
      <w:bodyDiv w:val="1"/>
      <w:marLeft w:val="0"/>
      <w:marRight w:val="0"/>
      <w:marTop w:val="0"/>
      <w:marBottom w:val="0"/>
      <w:divBdr>
        <w:top w:val="none" w:sz="0" w:space="0" w:color="auto"/>
        <w:left w:val="none" w:sz="0" w:space="0" w:color="auto"/>
        <w:bottom w:val="none" w:sz="0" w:space="0" w:color="auto"/>
        <w:right w:val="none" w:sz="0" w:space="0" w:color="auto"/>
      </w:divBdr>
    </w:div>
    <w:div w:id="1114011546">
      <w:bodyDiv w:val="1"/>
      <w:marLeft w:val="0"/>
      <w:marRight w:val="0"/>
      <w:marTop w:val="0"/>
      <w:marBottom w:val="0"/>
      <w:divBdr>
        <w:top w:val="none" w:sz="0" w:space="0" w:color="auto"/>
        <w:left w:val="none" w:sz="0" w:space="0" w:color="auto"/>
        <w:bottom w:val="none" w:sz="0" w:space="0" w:color="auto"/>
        <w:right w:val="none" w:sz="0" w:space="0" w:color="auto"/>
      </w:divBdr>
    </w:div>
    <w:div w:id="1114862240">
      <w:bodyDiv w:val="1"/>
      <w:marLeft w:val="0"/>
      <w:marRight w:val="0"/>
      <w:marTop w:val="0"/>
      <w:marBottom w:val="0"/>
      <w:divBdr>
        <w:top w:val="none" w:sz="0" w:space="0" w:color="auto"/>
        <w:left w:val="none" w:sz="0" w:space="0" w:color="auto"/>
        <w:bottom w:val="none" w:sz="0" w:space="0" w:color="auto"/>
        <w:right w:val="none" w:sz="0" w:space="0" w:color="auto"/>
      </w:divBdr>
    </w:div>
    <w:div w:id="1187447705">
      <w:bodyDiv w:val="1"/>
      <w:marLeft w:val="0"/>
      <w:marRight w:val="0"/>
      <w:marTop w:val="0"/>
      <w:marBottom w:val="0"/>
      <w:divBdr>
        <w:top w:val="none" w:sz="0" w:space="0" w:color="auto"/>
        <w:left w:val="none" w:sz="0" w:space="0" w:color="auto"/>
        <w:bottom w:val="none" w:sz="0" w:space="0" w:color="auto"/>
        <w:right w:val="none" w:sz="0" w:space="0" w:color="auto"/>
      </w:divBdr>
    </w:div>
    <w:div w:id="1213811855">
      <w:bodyDiv w:val="1"/>
      <w:marLeft w:val="0"/>
      <w:marRight w:val="0"/>
      <w:marTop w:val="0"/>
      <w:marBottom w:val="0"/>
      <w:divBdr>
        <w:top w:val="none" w:sz="0" w:space="0" w:color="auto"/>
        <w:left w:val="none" w:sz="0" w:space="0" w:color="auto"/>
        <w:bottom w:val="none" w:sz="0" w:space="0" w:color="auto"/>
        <w:right w:val="none" w:sz="0" w:space="0" w:color="auto"/>
      </w:divBdr>
    </w:div>
    <w:div w:id="1263565508">
      <w:bodyDiv w:val="1"/>
      <w:marLeft w:val="0"/>
      <w:marRight w:val="0"/>
      <w:marTop w:val="0"/>
      <w:marBottom w:val="0"/>
      <w:divBdr>
        <w:top w:val="none" w:sz="0" w:space="0" w:color="auto"/>
        <w:left w:val="none" w:sz="0" w:space="0" w:color="auto"/>
        <w:bottom w:val="none" w:sz="0" w:space="0" w:color="auto"/>
        <w:right w:val="none" w:sz="0" w:space="0" w:color="auto"/>
      </w:divBdr>
    </w:div>
    <w:div w:id="1264456290">
      <w:bodyDiv w:val="1"/>
      <w:marLeft w:val="0"/>
      <w:marRight w:val="0"/>
      <w:marTop w:val="0"/>
      <w:marBottom w:val="0"/>
      <w:divBdr>
        <w:top w:val="none" w:sz="0" w:space="0" w:color="auto"/>
        <w:left w:val="none" w:sz="0" w:space="0" w:color="auto"/>
        <w:bottom w:val="none" w:sz="0" w:space="0" w:color="auto"/>
        <w:right w:val="none" w:sz="0" w:space="0" w:color="auto"/>
      </w:divBdr>
    </w:div>
    <w:div w:id="1273322293">
      <w:bodyDiv w:val="1"/>
      <w:marLeft w:val="0"/>
      <w:marRight w:val="0"/>
      <w:marTop w:val="0"/>
      <w:marBottom w:val="0"/>
      <w:divBdr>
        <w:top w:val="none" w:sz="0" w:space="0" w:color="auto"/>
        <w:left w:val="none" w:sz="0" w:space="0" w:color="auto"/>
        <w:bottom w:val="none" w:sz="0" w:space="0" w:color="auto"/>
        <w:right w:val="none" w:sz="0" w:space="0" w:color="auto"/>
      </w:divBdr>
    </w:div>
    <w:div w:id="1300453718">
      <w:bodyDiv w:val="1"/>
      <w:marLeft w:val="0"/>
      <w:marRight w:val="0"/>
      <w:marTop w:val="0"/>
      <w:marBottom w:val="0"/>
      <w:divBdr>
        <w:top w:val="none" w:sz="0" w:space="0" w:color="auto"/>
        <w:left w:val="none" w:sz="0" w:space="0" w:color="auto"/>
        <w:bottom w:val="none" w:sz="0" w:space="0" w:color="auto"/>
        <w:right w:val="none" w:sz="0" w:space="0" w:color="auto"/>
      </w:divBdr>
    </w:div>
    <w:div w:id="1316763833">
      <w:bodyDiv w:val="1"/>
      <w:marLeft w:val="0"/>
      <w:marRight w:val="0"/>
      <w:marTop w:val="0"/>
      <w:marBottom w:val="0"/>
      <w:divBdr>
        <w:top w:val="none" w:sz="0" w:space="0" w:color="auto"/>
        <w:left w:val="none" w:sz="0" w:space="0" w:color="auto"/>
        <w:bottom w:val="none" w:sz="0" w:space="0" w:color="auto"/>
        <w:right w:val="none" w:sz="0" w:space="0" w:color="auto"/>
      </w:divBdr>
    </w:div>
    <w:div w:id="1363092871">
      <w:bodyDiv w:val="1"/>
      <w:marLeft w:val="0"/>
      <w:marRight w:val="0"/>
      <w:marTop w:val="0"/>
      <w:marBottom w:val="0"/>
      <w:divBdr>
        <w:top w:val="none" w:sz="0" w:space="0" w:color="auto"/>
        <w:left w:val="none" w:sz="0" w:space="0" w:color="auto"/>
        <w:bottom w:val="none" w:sz="0" w:space="0" w:color="auto"/>
        <w:right w:val="none" w:sz="0" w:space="0" w:color="auto"/>
      </w:divBdr>
    </w:div>
    <w:div w:id="1372731092">
      <w:bodyDiv w:val="1"/>
      <w:marLeft w:val="0"/>
      <w:marRight w:val="0"/>
      <w:marTop w:val="0"/>
      <w:marBottom w:val="0"/>
      <w:divBdr>
        <w:top w:val="none" w:sz="0" w:space="0" w:color="auto"/>
        <w:left w:val="none" w:sz="0" w:space="0" w:color="auto"/>
        <w:bottom w:val="none" w:sz="0" w:space="0" w:color="auto"/>
        <w:right w:val="none" w:sz="0" w:space="0" w:color="auto"/>
      </w:divBdr>
    </w:div>
    <w:div w:id="1373578446">
      <w:bodyDiv w:val="1"/>
      <w:marLeft w:val="0"/>
      <w:marRight w:val="0"/>
      <w:marTop w:val="0"/>
      <w:marBottom w:val="0"/>
      <w:divBdr>
        <w:top w:val="none" w:sz="0" w:space="0" w:color="auto"/>
        <w:left w:val="none" w:sz="0" w:space="0" w:color="auto"/>
        <w:bottom w:val="none" w:sz="0" w:space="0" w:color="auto"/>
        <w:right w:val="none" w:sz="0" w:space="0" w:color="auto"/>
      </w:divBdr>
    </w:div>
    <w:div w:id="1384211059">
      <w:bodyDiv w:val="1"/>
      <w:marLeft w:val="0"/>
      <w:marRight w:val="0"/>
      <w:marTop w:val="0"/>
      <w:marBottom w:val="0"/>
      <w:divBdr>
        <w:top w:val="none" w:sz="0" w:space="0" w:color="auto"/>
        <w:left w:val="none" w:sz="0" w:space="0" w:color="auto"/>
        <w:bottom w:val="none" w:sz="0" w:space="0" w:color="auto"/>
        <w:right w:val="none" w:sz="0" w:space="0" w:color="auto"/>
      </w:divBdr>
    </w:div>
    <w:div w:id="1387098771">
      <w:bodyDiv w:val="1"/>
      <w:marLeft w:val="0"/>
      <w:marRight w:val="0"/>
      <w:marTop w:val="0"/>
      <w:marBottom w:val="0"/>
      <w:divBdr>
        <w:top w:val="none" w:sz="0" w:space="0" w:color="auto"/>
        <w:left w:val="none" w:sz="0" w:space="0" w:color="auto"/>
        <w:bottom w:val="none" w:sz="0" w:space="0" w:color="auto"/>
        <w:right w:val="none" w:sz="0" w:space="0" w:color="auto"/>
      </w:divBdr>
    </w:div>
    <w:div w:id="1465389154">
      <w:bodyDiv w:val="1"/>
      <w:marLeft w:val="0"/>
      <w:marRight w:val="0"/>
      <w:marTop w:val="0"/>
      <w:marBottom w:val="0"/>
      <w:divBdr>
        <w:top w:val="none" w:sz="0" w:space="0" w:color="auto"/>
        <w:left w:val="none" w:sz="0" w:space="0" w:color="auto"/>
        <w:bottom w:val="none" w:sz="0" w:space="0" w:color="auto"/>
        <w:right w:val="none" w:sz="0" w:space="0" w:color="auto"/>
      </w:divBdr>
    </w:div>
    <w:div w:id="1470782145">
      <w:bodyDiv w:val="1"/>
      <w:marLeft w:val="0"/>
      <w:marRight w:val="0"/>
      <w:marTop w:val="0"/>
      <w:marBottom w:val="0"/>
      <w:divBdr>
        <w:top w:val="none" w:sz="0" w:space="0" w:color="auto"/>
        <w:left w:val="none" w:sz="0" w:space="0" w:color="auto"/>
        <w:bottom w:val="none" w:sz="0" w:space="0" w:color="auto"/>
        <w:right w:val="none" w:sz="0" w:space="0" w:color="auto"/>
      </w:divBdr>
    </w:div>
    <w:div w:id="1496995109">
      <w:bodyDiv w:val="1"/>
      <w:marLeft w:val="0"/>
      <w:marRight w:val="0"/>
      <w:marTop w:val="0"/>
      <w:marBottom w:val="0"/>
      <w:divBdr>
        <w:top w:val="none" w:sz="0" w:space="0" w:color="auto"/>
        <w:left w:val="none" w:sz="0" w:space="0" w:color="auto"/>
        <w:bottom w:val="none" w:sz="0" w:space="0" w:color="auto"/>
        <w:right w:val="none" w:sz="0" w:space="0" w:color="auto"/>
      </w:divBdr>
    </w:div>
    <w:div w:id="1503542498">
      <w:bodyDiv w:val="1"/>
      <w:marLeft w:val="0"/>
      <w:marRight w:val="0"/>
      <w:marTop w:val="0"/>
      <w:marBottom w:val="0"/>
      <w:divBdr>
        <w:top w:val="none" w:sz="0" w:space="0" w:color="auto"/>
        <w:left w:val="none" w:sz="0" w:space="0" w:color="auto"/>
        <w:bottom w:val="none" w:sz="0" w:space="0" w:color="auto"/>
        <w:right w:val="none" w:sz="0" w:space="0" w:color="auto"/>
      </w:divBdr>
    </w:div>
    <w:div w:id="1514757975">
      <w:bodyDiv w:val="1"/>
      <w:marLeft w:val="0"/>
      <w:marRight w:val="0"/>
      <w:marTop w:val="0"/>
      <w:marBottom w:val="0"/>
      <w:divBdr>
        <w:top w:val="none" w:sz="0" w:space="0" w:color="auto"/>
        <w:left w:val="none" w:sz="0" w:space="0" w:color="auto"/>
        <w:bottom w:val="none" w:sz="0" w:space="0" w:color="auto"/>
        <w:right w:val="none" w:sz="0" w:space="0" w:color="auto"/>
      </w:divBdr>
    </w:div>
    <w:div w:id="1533300336">
      <w:bodyDiv w:val="1"/>
      <w:marLeft w:val="0"/>
      <w:marRight w:val="0"/>
      <w:marTop w:val="0"/>
      <w:marBottom w:val="0"/>
      <w:divBdr>
        <w:top w:val="none" w:sz="0" w:space="0" w:color="auto"/>
        <w:left w:val="none" w:sz="0" w:space="0" w:color="auto"/>
        <w:bottom w:val="none" w:sz="0" w:space="0" w:color="auto"/>
        <w:right w:val="none" w:sz="0" w:space="0" w:color="auto"/>
      </w:divBdr>
    </w:div>
    <w:div w:id="1553807347">
      <w:bodyDiv w:val="1"/>
      <w:marLeft w:val="0"/>
      <w:marRight w:val="0"/>
      <w:marTop w:val="0"/>
      <w:marBottom w:val="0"/>
      <w:divBdr>
        <w:top w:val="none" w:sz="0" w:space="0" w:color="auto"/>
        <w:left w:val="none" w:sz="0" w:space="0" w:color="auto"/>
        <w:bottom w:val="none" w:sz="0" w:space="0" w:color="auto"/>
        <w:right w:val="none" w:sz="0" w:space="0" w:color="auto"/>
      </w:divBdr>
    </w:div>
    <w:div w:id="1575554280">
      <w:bodyDiv w:val="1"/>
      <w:marLeft w:val="0"/>
      <w:marRight w:val="0"/>
      <w:marTop w:val="0"/>
      <w:marBottom w:val="0"/>
      <w:divBdr>
        <w:top w:val="none" w:sz="0" w:space="0" w:color="auto"/>
        <w:left w:val="none" w:sz="0" w:space="0" w:color="auto"/>
        <w:bottom w:val="none" w:sz="0" w:space="0" w:color="auto"/>
        <w:right w:val="none" w:sz="0" w:space="0" w:color="auto"/>
      </w:divBdr>
    </w:div>
    <w:div w:id="1610088680">
      <w:bodyDiv w:val="1"/>
      <w:marLeft w:val="0"/>
      <w:marRight w:val="0"/>
      <w:marTop w:val="0"/>
      <w:marBottom w:val="0"/>
      <w:divBdr>
        <w:top w:val="none" w:sz="0" w:space="0" w:color="auto"/>
        <w:left w:val="none" w:sz="0" w:space="0" w:color="auto"/>
        <w:bottom w:val="none" w:sz="0" w:space="0" w:color="auto"/>
        <w:right w:val="none" w:sz="0" w:space="0" w:color="auto"/>
      </w:divBdr>
    </w:div>
    <w:div w:id="1658652127">
      <w:bodyDiv w:val="1"/>
      <w:marLeft w:val="0"/>
      <w:marRight w:val="0"/>
      <w:marTop w:val="0"/>
      <w:marBottom w:val="0"/>
      <w:divBdr>
        <w:top w:val="none" w:sz="0" w:space="0" w:color="auto"/>
        <w:left w:val="none" w:sz="0" w:space="0" w:color="auto"/>
        <w:bottom w:val="none" w:sz="0" w:space="0" w:color="auto"/>
        <w:right w:val="none" w:sz="0" w:space="0" w:color="auto"/>
      </w:divBdr>
    </w:div>
    <w:div w:id="1659265047">
      <w:bodyDiv w:val="1"/>
      <w:marLeft w:val="0"/>
      <w:marRight w:val="0"/>
      <w:marTop w:val="0"/>
      <w:marBottom w:val="0"/>
      <w:divBdr>
        <w:top w:val="none" w:sz="0" w:space="0" w:color="auto"/>
        <w:left w:val="none" w:sz="0" w:space="0" w:color="auto"/>
        <w:bottom w:val="none" w:sz="0" w:space="0" w:color="auto"/>
        <w:right w:val="none" w:sz="0" w:space="0" w:color="auto"/>
      </w:divBdr>
    </w:div>
    <w:div w:id="1733967645">
      <w:bodyDiv w:val="1"/>
      <w:marLeft w:val="0"/>
      <w:marRight w:val="0"/>
      <w:marTop w:val="0"/>
      <w:marBottom w:val="0"/>
      <w:divBdr>
        <w:top w:val="none" w:sz="0" w:space="0" w:color="auto"/>
        <w:left w:val="none" w:sz="0" w:space="0" w:color="auto"/>
        <w:bottom w:val="none" w:sz="0" w:space="0" w:color="auto"/>
        <w:right w:val="none" w:sz="0" w:space="0" w:color="auto"/>
      </w:divBdr>
    </w:div>
    <w:div w:id="1738090859">
      <w:bodyDiv w:val="1"/>
      <w:marLeft w:val="0"/>
      <w:marRight w:val="0"/>
      <w:marTop w:val="0"/>
      <w:marBottom w:val="0"/>
      <w:divBdr>
        <w:top w:val="none" w:sz="0" w:space="0" w:color="auto"/>
        <w:left w:val="none" w:sz="0" w:space="0" w:color="auto"/>
        <w:bottom w:val="none" w:sz="0" w:space="0" w:color="auto"/>
        <w:right w:val="none" w:sz="0" w:space="0" w:color="auto"/>
      </w:divBdr>
    </w:div>
    <w:div w:id="1745834874">
      <w:bodyDiv w:val="1"/>
      <w:marLeft w:val="0"/>
      <w:marRight w:val="0"/>
      <w:marTop w:val="0"/>
      <w:marBottom w:val="0"/>
      <w:divBdr>
        <w:top w:val="none" w:sz="0" w:space="0" w:color="auto"/>
        <w:left w:val="none" w:sz="0" w:space="0" w:color="auto"/>
        <w:bottom w:val="none" w:sz="0" w:space="0" w:color="auto"/>
        <w:right w:val="none" w:sz="0" w:space="0" w:color="auto"/>
      </w:divBdr>
    </w:div>
    <w:div w:id="1759280973">
      <w:bodyDiv w:val="1"/>
      <w:marLeft w:val="0"/>
      <w:marRight w:val="0"/>
      <w:marTop w:val="0"/>
      <w:marBottom w:val="0"/>
      <w:divBdr>
        <w:top w:val="none" w:sz="0" w:space="0" w:color="auto"/>
        <w:left w:val="none" w:sz="0" w:space="0" w:color="auto"/>
        <w:bottom w:val="none" w:sz="0" w:space="0" w:color="auto"/>
        <w:right w:val="none" w:sz="0" w:space="0" w:color="auto"/>
      </w:divBdr>
    </w:div>
    <w:div w:id="1763840571">
      <w:bodyDiv w:val="1"/>
      <w:marLeft w:val="0"/>
      <w:marRight w:val="0"/>
      <w:marTop w:val="0"/>
      <w:marBottom w:val="0"/>
      <w:divBdr>
        <w:top w:val="none" w:sz="0" w:space="0" w:color="auto"/>
        <w:left w:val="none" w:sz="0" w:space="0" w:color="auto"/>
        <w:bottom w:val="none" w:sz="0" w:space="0" w:color="auto"/>
        <w:right w:val="none" w:sz="0" w:space="0" w:color="auto"/>
      </w:divBdr>
    </w:div>
    <w:div w:id="1784109365">
      <w:bodyDiv w:val="1"/>
      <w:marLeft w:val="0"/>
      <w:marRight w:val="0"/>
      <w:marTop w:val="0"/>
      <w:marBottom w:val="0"/>
      <w:divBdr>
        <w:top w:val="none" w:sz="0" w:space="0" w:color="auto"/>
        <w:left w:val="none" w:sz="0" w:space="0" w:color="auto"/>
        <w:bottom w:val="none" w:sz="0" w:space="0" w:color="auto"/>
        <w:right w:val="none" w:sz="0" w:space="0" w:color="auto"/>
      </w:divBdr>
    </w:div>
    <w:div w:id="1787038869">
      <w:bodyDiv w:val="1"/>
      <w:marLeft w:val="0"/>
      <w:marRight w:val="0"/>
      <w:marTop w:val="0"/>
      <w:marBottom w:val="0"/>
      <w:divBdr>
        <w:top w:val="none" w:sz="0" w:space="0" w:color="auto"/>
        <w:left w:val="none" w:sz="0" w:space="0" w:color="auto"/>
        <w:bottom w:val="none" w:sz="0" w:space="0" w:color="auto"/>
        <w:right w:val="none" w:sz="0" w:space="0" w:color="auto"/>
      </w:divBdr>
    </w:div>
    <w:div w:id="1796947716">
      <w:bodyDiv w:val="1"/>
      <w:marLeft w:val="0"/>
      <w:marRight w:val="0"/>
      <w:marTop w:val="0"/>
      <w:marBottom w:val="0"/>
      <w:divBdr>
        <w:top w:val="none" w:sz="0" w:space="0" w:color="auto"/>
        <w:left w:val="none" w:sz="0" w:space="0" w:color="auto"/>
        <w:bottom w:val="none" w:sz="0" w:space="0" w:color="auto"/>
        <w:right w:val="none" w:sz="0" w:space="0" w:color="auto"/>
      </w:divBdr>
    </w:div>
    <w:div w:id="1819689208">
      <w:bodyDiv w:val="1"/>
      <w:marLeft w:val="0"/>
      <w:marRight w:val="0"/>
      <w:marTop w:val="0"/>
      <w:marBottom w:val="0"/>
      <w:divBdr>
        <w:top w:val="none" w:sz="0" w:space="0" w:color="auto"/>
        <w:left w:val="none" w:sz="0" w:space="0" w:color="auto"/>
        <w:bottom w:val="none" w:sz="0" w:space="0" w:color="auto"/>
        <w:right w:val="none" w:sz="0" w:space="0" w:color="auto"/>
      </w:divBdr>
    </w:div>
    <w:div w:id="1850942857">
      <w:bodyDiv w:val="1"/>
      <w:marLeft w:val="0"/>
      <w:marRight w:val="0"/>
      <w:marTop w:val="0"/>
      <w:marBottom w:val="0"/>
      <w:divBdr>
        <w:top w:val="none" w:sz="0" w:space="0" w:color="auto"/>
        <w:left w:val="none" w:sz="0" w:space="0" w:color="auto"/>
        <w:bottom w:val="none" w:sz="0" w:space="0" w:color="auto"/>
        <w:right w:val="none" w:sz="0" w:space="0" w:color="auto"/>
      </w:divBdr>
    </w:div>
    <w:div w:id="1851942038">
      <w:bodyDiv w:val="1"/>
      <w:marLeft w:val="0"/>
      <w:marRight w:val="0"/>
      <w:marTop w:val="0"/>
      <w:marBottom w:val="0"/>
      <w:divBdr>
        <w:top w:val="none" w:sz="0" w:space="0" w:color="auto"/>
        <w:left w:val="none" w:sz="0" w:space="0" w:color="auto"/>
        <w:bottom w:val="none" w:sz="0" w:space="0" w:color="auto"/>
        <w:right w:val="none" w:sz="0" w:space="0" w:color="auto"/>
      </w:divBdr>
    </w:div>
    <w:div w:id="1864396008">
      <w:bodyDiv w:val="1"/>
      <w:marLeft w:val="0"/>
      <w:marRight w:val="0"/>
      <w:marTop w:val="0"/>
      <w:marBottom w:val="0"/>
      <w:divBdr>
        <w:top w:val="none" w:sz="0" w:space="0" w:color="auto"/>
        <w:left w:val="none" w:sz="0" w:space="0" w:color="auto"/>
        <w:bottom w:val="none" w:sz="0" w:space="0" w:color="auto"/>
        <w:right w:val="none" w:sz="0" w:space="0" w:color="auto"/>
      </w:divBdr>
    </w:div>
    <w:div w:id="1878155517">
      <w:bodyDiv w:val="1"/>
      <w:marLeft w:val="0"/>
      <w:marRight w:val="0"/>
      <w:marTop w:val="0"/>
      <w:marBottom w:val="0"/>
      <w:divBdr>
        <w:top w:val="none" w:sz="0" w:space="0" w:color="auto"/>
        <w:left w:val="none" w:sz="0" w:space="0" w:color="auto"/>
        <w:bottom w:val="none" w:sz="0" w:space="0" w:color="auto"/>
        <w:right w:val="none" w:sz="0" w:space="0" w:color="auto"/>
      </w:divBdr>
    </w:div>
    <w:div w:id="1891916071">
      <w:bodyDiv w:val="1"/>
      <w:marLeft w:val="0"/>
      <w:marRight w:val="0"/>
      <w:marTop w:val="0"/>
      <w:marBottom w:val="0"/>
      <w:divBdr>
        <w:top w:val="none" w:sz="0" w:space="0" w:color="auto"/>
        <w:left w:val="none" w:sz="0" w:space="0" w:color="auto"/>
        <w:bottom w:val="none" w:sz="0" w:space="0" w:color="auto"/>
        <w:right w:val="none" w:sz="0" w:space="0" w:color="auto"/>
      </w:divBdr>
    </w:div>
    <w:div w:id="1903324551">
      <w:bodyDiv w:val="1"/>
      <w:marLeft w:val="0"/>
      <w:marRight w:val="0"/>
      <w:marTop w:val="0"/>
      <w:marBottom w:val="0"/>
      <w:divBdr>
        <w:top w:val="none" w:sz="0" w:space="0" w:color="auto"/>
        <w:left w:val="none" w:sz="0" w:space="0" w:color="auto"/>
        <w:bottom w:val="none" w:sz="0" w:space="0" w:color="auto"/>
        <w:right w:val="none" w:sz="0" w:space="0" w:color="auto"/>
      </w:divBdr>
    </w:div>
    <w:div w:id="1906405336">
      <w:bodyDiv w:val="1"/>
      <w:marLeft w:val="0"/>
      <w:marRight w:val="0"/>
      <w:marTop w:val="0"/>
      <w:marBottom w:val="0"/>
      <w:divBdr>
        <w:top w:val="none" w:sz="0" w:space="0" w:color="auto"/>
        <w:left w:val="none" w:sz="0" w:space="0" w:color="auto"/>
        <w:bottom w:val="none" w:sz="0" w:space="0" w:color="auto"/>
        <w:right w:val="none" w:sz="0" w:space="0" w:color="auto"/>
      </w:divBdr>
    </w:div>
    <w:div w:id="1926643639">
      <w:bodyDiv w:val="1"/>
      <w:marLeft w:val="0"/>
      <w:marRight w:val="0"/>
      <w:marTop w:val="0"/>
      <w:marBottom w:val="0"/>
      <w:divBdr>
        <w:top w:val="none" w:sz="0" w:space="0" w:color="auto"/>
        <w:left w:val="none" w:sz="0" w:space="0" w:color="auto"/>
        <w:bottom w:val="none" w:sz="0" w:space="0" w:color="auto"/>
        <w:right w:val="none" w:sz="0" w:space="0" w:color="auto"/>
      </w:divBdr>
    </w:div>
    <w:div w:id="1929658876">
      <w:bodyDiv w:val="1"/>
      <w:marLeft w:val="0"/>
      <w:marRight w:val="0"/>
      <w:marTop w:val="0"/>
      <w:marBottom w:val="0"/>
      <w:divBdr>
        <w:top w:val="none" w:sz="0" w:space="0" w:color="auto"/>
        <w:left w:val="none" w:sz="0" w:space="0" w:color="auto"/>
        <w:bottom w:val="none" w:sz="0" w:space="0" w:color="auto"/>
        <w:right w:val="none" w:sz="0" w:space="0" w:color="auto"/>
      </w:divBdr>
    </w:div>
    <w:div w:id="1930119413">
      <w:bodyDiv w:val="1"/>
      <w:marLeft w:val="0"/>
      <w:marRight w:val="0"/>
      <w:marTop w:val="0"/>
      <w:marBottom w:val="0"/>
      <w:divBdr>
        <w:top w:val="none" w:sz="0" w:space="0" w:color="auto"/>
        <w:left w:val="none" w:sz="0" w:space="0" w:color="auto"/>
        <w:bottom w:val="none" w:sz="0" w:space="0" w:color="auto"/>
        <w:right w:val="none" w:sz="0" w:space="0" w:color="auto"/>
      </w:divBdr>
    </w:div>
    <w:div w:id="1958021683">
      <w:bodyDiv w:val="1"/>
      <w:marLeft w:val="0"/>
      <w:marRight w:val="0"/>
      <w:marTop w:val="0"/>
      <w:marBottom w:val="0"/>
      <w:divBdr>
        <w:top w:val="none" w:sz="0" w:space="0" w:color="auto"/>
        <w:left w:val="none" w:sz="0" w:space="0" w:color="auto"/>
        <w:bottom w:val="none" w:sz="0" w:space="0" w:color="auto"/>
        <w:right w:val="none" w:sz="0" w:space="0" w:color="auto"/>
      </w:divBdr>
    </w:div>
    <w:div w:id="1959025416">
      <w:bodyDiv w:val="1"/>
      <w:marLeft w:val="0"/>
      <w:marRight w:val="0"/>
      <w:marTop w:val="0"/>
      <w:marBottom w:val="0"/>
      <w:divBdr>
        <w:top w:val="none" w:sz="0" w:space="0" w:color="auto"/>
        <w:left w:val="none" w:sz="0" w:space="0" w:color="auto"/>
        <w:bottom w:val="none" w:sz="0" w:space="0" w:color="auto"/>
        <w:right w:val="none" w:sz="0" w:space="0" w:color="auto"/>
      </w:divBdr>
    </w:div>
    <w:div w:id="1971931271">
      <w:bodyDiv w:val="1"/>
      <w:marLeft w:val="0"/>
      <w:marRight w:val="0"/>
      <w:marTop w:val="0"/>
      <w:marBottom w:val="0"/>
      <w:divBdr>
        <w:top w:val="none" w:sz="0" w:space="0" w:color="auto"/>
        <w:left w:val="none" w:sz="0" w:space="0" w:color="auto"/>
        <w:bottom w:val="none" w:sz="0" w:space="0" w:color="auto"/>
        <w:right w:val="none" w:sz="0" w:space="0" w:color="auto"/>
      </w:divBdr>
    </w:div>
    <w:div w:id="2000033131">
      <w:bodyDiv w:val="1"/>
      <w:marLeft w:val="0"/>
      <w:marRight w:val="0"/>
      <w:marTop w:val="0"/>
      <w:marBottom w:val="0"/>
      <w:divBdr>
        <w:top w:val="none" w:sz="0" w:space="0" w:color="auto"/>
        <w:left w:val="none" w:sz="0" w:space="0" w:color="auto"/>
        <w:bottom w:val="none" w:sz="0" w:space="0" w:color="auto"/>
        <w:right w:val="none" w:sz="0" w:space="0" w:color="auto"/>
      </w:divBdr>
    </w:div>
    <w:div w:id="2001762536">
      <w:bodyDiv w:val="1"/>
      <w:marLeft w:val="0"/>
      <w:marRight w:val="0"/>
      <w:marTop w:val="0"/>
      <w:marBottom w:val="0"/>
      <w:divBdr>
        <w:top w:val="none" w:sz="0" w:space="0" w:color="auto"/>
        <w:left w:val="none" w:sz="0" w:space="0" w:color="auto"/>
        <w:bottom w:val="none" w:sz="0" w:space="0" w:color="auto"/>
        <w:right w:val="none" w:sz="0" w:space="0" w:color="auto"/>
      </w:divBdr>
    </w:div>
    <w:div w:id="2024474275">
      <w:bodyDiv w:val="1"/>
      <w:marLeft w:val="0"/>
      <w:marRight w:val="0"/>
      <w:marTop w:val="0"/>
      <w:marBottom w:val="0"/>
      <w:divBdr>
        <w:top w:val="none" w:sz="0" w:space="0" w:color="auto"/>
        <w:left w:val="none" w:sz="0" w:space="0" w:color="auto"/>
        <w:bottom w:val="none" w:sz="0" w:space="0" w:color="auto"/>
        <w:right w:val="none" w:sz="0" w:space="0" w:color="auto"/>
      </w:divBdr>
    </w:div>
    <w:div w:id="2026134721">
      <w:bodyDiv w:val="1"/>
      <w:marLeft w:val="0"/>
      <w:marRight w:val="0"/>
      <w:marTop w:val="0"/>
      <w:marBottom w:val="0"/>
      <w:divBdr>
        <w:top w:val="none" w:sz="0" w:space="0" w:color="auto"/>
        <w:left w:val="none" w:sz="0" w:space="0" w:color="auto"/>
        <w:bottom w:val="none" w:sz="0" w:space="0" w:color="auto"/>
        <w:right w:val="none" w:sz="0" w:space="0" w:color="auto"/>
      </w:divBdr>
    </w:div>
    <w:div w:id="2037151950">
      <w:bodyDiv w:val="1"/>
      <w:marLeft w:val="0"/>
      <w:marRight w:val="0"/>
      <w:marTop w:val="0"/>
      <w:marBottom w:val="0"/>
      <w:divBdr>
        <w:top w:val="none" w:sz="0" w:space="0" w:color="auto"/>
        <w:left w:val="none" w:sz="0" w:space="0" w:color="auto"/>
        <w:bottom w:val="none" w:sz="0" w:space="0" w:color="auto"/>
        <w:right w:val="none" w:sz="0" w:space="0" w:color="auto"/>
      </w:divBdr>
    </w:div>
    <w:div w:id="2045592991">
      <w:bodyDiv w:val="1"/>
      <w:marLeft w:val="0"/>
      <w:marRight w:val="0"/>
      <w:marTop w:val="0"/>
      <w:marBottom w:val="0"/>
      <w:divBdr>
        <w:top w:val="none" w:sz="0" w:space="0" w:color="auto"/>
        <w:left w:val="none" w:sz="0" w:space="0" w:color="auto"/>
        <w:bottom w:val="none" w:sz="0" w:space="0" w:color="auto"/>
        <w:right w:val="none" w:sz="0" w:space="0" w:color="auto"/>
      </w:divBdr>
    </w:div>
    <w:div w:id="2057390713">
      <w:bodyDiv w:val="1"/>
      <w:marLeft w:val="0"/>
      <w:marRight w:val="0"/>
      <w:marTop w:val="0"/>
      <w:marBottom w:val="0"/>
      <w:divBdr>
        <w:top w:val="none" w:sz="0" w:space="0" w:color="auto"/>
        <w:left w:val="none" w:sz="0" w:space="0" w:color="auto"/>
        <w:bottom w:val="none" w:sz="0" w:space="0" w:color="auto"/>
        <w:right w:val="none" w:sz="0" w:space="0" w:color="auto"/>
      </w:divBdr>
    </w:div>
    <w:div w:id="2088719801">
      <w:bodyDiv w:val="1"/>
      <w:marLeft w:val="0"/>
      <w:marRight w:val="0"/>
      <w:marTop w:val="0"/>
      <w:marBottom w:val="0"/>
      <w:divBdr>
        <w:top w:val="none" w:sz="0" w:space="0" w:color="auto"/>
        <w:left w:val="none" w:sz="0" w:space="0" w:color="auto"/>
        <w:bottom w:val="none" w:sz="0" w:space="0" w:color="auto"/>
        <w:right w:val="none" w:sz="0" w:space="0" w:color="auto"/>
      </w:divBdr>
    </w:div>
    <w:div w:id="2142921134">
      <w:bodyDiv w:val="1"/>
      <w:marLeft w:val="0"/>
      <w:marRight w:val="0"/>
      <w:marTop w:val="0"/>
      <w:marBottom w:val="0"/>
      <w:divBdr>
        <w:top w:val="none" w:sz="0" w:space="0" w:color="auto"/>
        <w:left w:val="none" w:sz="0" w:space="0" w:color="auto"/>
        <w:bottom w:val="none" w:sz="0" w:space="0" w:color="auto"/>
        <w:right w:val="none" w:sz="0" w:space="0" w:color="auto"/>
      </w:divBdr>
    </w:div>
    <w:div w:id="214534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n\AppData\Roaming\Microsoft\Templates\PhD%20Dissertation%20Idah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Pic18</b:Tag>
    <b:SourceType>InternetSite</b:SourceType>
    <b:Guid>{EAD2E3AB-3AAE-4A32-A652-12066BA630F2}</b:Guid>
    <b:Author>
      <b:Author>
        <b:NameList>
          <b:Person>
            <b:Last>Pichai</b:Last>
            <b:First>S.</b:First>
          </b:Person>
        </b:NameList>
      </b:Author>
    </b:Author>
    <b:Title>AI at Google: Our principles</b:Title>
    <b:InternetSiteTitle>Google</b:InternetSiteTitle>
    <b:Year>2018</b:Year>
    <b:Month>June</b:Month>
    <b:Day>7</b:Day>
    <b:URL>https://blog.google/technology/ai/ai-principles/</b:URL>
    <b:RefOrder>5</b:RefOrder>
  </b:Source>
  <b:Source>
    <b:Tag>Pon20</b:Tag>
    <b:SourceType>InternetSite</b:SourceType>
    <b:Guid>{646215E2-05FF-46FA-9D2B-7AE3A9B48363}</b:Guid>
    <b:Author>
      <b:Author>
        <b:Corporate>Pontifical Academy for Life</b:Corporate>
      </b:Author>
    </b:Author>
    <b:Title>Rome Call for AI Ethics</b:Title>
    <b:InternetSiteTitle>Pontifical Academy for Life</b:InternetSiteTitle>
    <b:Year>2020</b:Year>
    <b:Month>February</b:Month>
    <b:Day>28</b:Day>
    <b:URL>https://www.academyforlife.va/content/dam/pav/documenti%20pdf/2020/Call%20for%20AI%20Ethics/Rome_Call_for_AI_Ethics.pdf</b:URL>
    <b:RefOrder>8</b:RefOrder>
  </b:Source>
  <b:Source>
    <b:Tag>Flo181</b:Tag>
    <b:SourceType>JournalArticle</b:SourceType>
    <b:Guid>{D83168BF-AB91-40ED-8931-0B0BF5E6E126}</b:Guid>
    <b:Title>AI4People--An ethical framework for a good AI society: Opportunities, risks, principles, and recommendations</b:Title>
    <b:Year>2018</b:Year>
    <b:JournalName>Minds and Machines</b:JournalName>
    <b:Pages>689-707</b:Pages>
    <b:Author>
      <b:Author>
        <b:NameList>
          <b:Person>
            <b:Last>Floridi</b:Last>
            <b:First>L</b:First>
          </b:Person>
          <b:Person>
            <b:Last>Cowls</b:Last>
            <b:First>J</b:First>
          </b:Person>
          <b:Person>
            <b:Last>Beltrametti</b:Last>
            <b:First>M</b:First>
          </b:Person>
          <b:Person>
            <b:Last>Chatila</b:Last>
            <b:First>R</b:First>
          </b:Person>
          <b:Person>
            <b:Last>Chazerand</b:Last>
            <b:First>P</b:First>
          </b:Person>
          <b:Person>
            <b:Last>Dignum</b:Last>
            <b:First>V</b:First>
          </b:Person>
          <b:Person>
            <b:Last>Luetge</b:Last>
            <b:First>C</b:First>
          </b:Person>
          <b:Person>
            <b:Last>Madelin</b:Last>
            <b:First>R</b:First>
          </b:Person>
          <b:Person>
            <b:Last>Pagallo</b:Last>
            <b:First>U</b:First>
          </b:Person>
          <b:Person>
            <b:Last>Rossi</b:Last>
            <b:First>F</b:First>
          </b:Person>
          <b:Person>
            <b:Last>Schafer</b:Last>
            <b:First>B</b:First>
          </b:Person>
          <b:Person>
            <b:Last>Valcke</b:Last>
            <b:First>P</b:First>
          </b:Person>
          <b:Person>
            <b:Last>Vayena</b:Last>
            <b:First>E</b:First>
          </b:Person>
        </b:NameList>
      </b:Author>
    </b:Author>
    <b:Volume>28</b:Volume>
    <b:Issue>4</b:Issue>
    <b:DOI>https://doi.org/10.1007/s11023-018-9482-5</b:DOI>
    <b:RefOrder>6</b:RefOrder>
  </b:Source>
  <b:Source>
    <b:Tag>Acc18</b:Tag>
    <b:SourceType>InternetSite</b:SourceType>
    <b:Guid>{3A999766-66D4-4774-AC7A-37E7ABDCE7B8}</b:Guid>
    <b:Title>Human Rights in the Age of Artificial Intelligence</b:Title>
    <b:Year>2018</b:Year>
    <b:Author>
      <b:Author>
        <b:Corporate>Access Now</b:Corporate>
      </b:Author>
    </b:Author>
    <b:InternetSiteTitle>Access Now</b:InternetSiteTitle>
    <b:Month>November</b:Month>
    <b:URL>https://www.accessnow.org/wp-content/uploads/2018/11/AI-and-Human-Rights.pdf</b:URL>
    <b:RefOrder>7</b:RefOrder>
  </b:Source>
  <b:Source>
    <b:Tag>UNE22</b:Tag>
    <b:SourceType>Report</b:SourceType>
    <b:Guid>{3EC08362-7CEC-40E1-83A9-3DC3727FECD7}</b:Guid>
    <b:Title>AI for climate resilience in emerging economies</b:Title>
    <b:Year>2022</b:Year>
    <b:Author>
      <b:Author>
        <b:NameList>
          <b:Person>
            <b:Last>UNESCO</b:Last>
          </b:Person>
        </b:NameList>
      </b:Author>
    </b:Author>
    <b:Publisher>UNESCO</b:Publisher>
    <b:City>Paris</b:City>
    <b:RefOrder>24</b:RefOrder>
  </b:Source>
  <b:Source>
    <b:Tag>Gab20</b:Tag>
    <b:SourceType>JournalArticle</b:SourceType>
    <b:Guid>{6674996A-7B2E-40AB-844E-8DBB6153FDFE}</b:Guid>
    <b:Title>Artificial intelligence, values, and alignment</b:Title>
    <b:Year>2020</b:Year>
    <b:Author>
      <b:Author>
        <b:NameList>
          <b:Person>
            <b:Last>Gabriel</b:Last>
            <b:First>Iason</b:First>
          </b:Person>
        </b:NameList>
      </b:Author>
    </b:Author>
    <b:Pages>1-24</b:Pages>
    <b:JournalName>Minds and Machines</b:JournalName>
    <b:Volume>30</b:Volume>
    <b:Issue>3</b:Issue>
    <b:DOI>https://doi.org/10.1007/s11023-020-09539-2</b:DOI>
    <b:RefOrder>25</b:RefOrder>
  </b:Source>
  <b:Source>
    <b:Tag>Bos14</b:Tag>
    <b:SourceType>Book</b:SourceType>
    <b:Guid>{2DE42491-DB3F-4313-943D-A54CD59F38CD}</b:Guid>
    <b:Author>
      <b:Author>
        <b:NameList>
          <b:Person>
            <b:Last>Bostrom</b:Last>
            <b:First>N</b:First>
          </b:Person>
        </b:NameList>
      </b:Author>
    </b:Author>
    <b:Title>Superintelligence: Paths, dangers, strategies</b:Title>
    <b:Year>2014</b:Year>
    <b:Publisher>Oxford University Press</b:Publisher>
    <b:RefOrder>26</b:RefOrder>
  </b:Source>
  <b:Source>
    <b:Tag>Rus19</b:Tag>
    <b:SourceType>Book</b:SourceType>
    <b:Guid>{673A72D6-918E-4670-BF2C-47BC31E5770C}</b:Guid>
    <b:Author>
      <b:Author>
        <b:NameList>
          <b:Person>
            <b:Last>Russell</b:Last>
            <b:First>S.</b:First>
          </b:Person>
        </b:NameList>
      </b:Author>
    </b:Author>
    <b:Title>Human compatible: Artificial intelligence and the problem of control</b:Title>
    <b:Year>2019</b:Year>
    <b:Publisher>Viking</b:Publisher>
    <b:RefOrder>27</b:RefOrder>
  </b:Source>
  <b:Source>
    <b:Tag>LFl04</b:Tag>
    <b:SourceType>JournalArticle</b:SourceType>
    <b:Guid>{62449985-DA46-4357-820D-2937FEC0FA55}</b:Guid>
    <b:Title>On the morality of artificial agents</b:Title>
    <b:Year>2004</b:Year>
    <b:Author>
      <b:Author>
        <b:NameList>
          <b:Person>
            <b:Last>Floridi</b:Last>
            <b:First>L</b:First>
          </b:Person>
          <b:Person>
            <b:Last>Sanders</b:Last>
            <b:First>J.</b:First>
            <b:Middle>W.</b:Middle>
          </b:Person>
        </b:NameList>
      </b:Author>
    </b:Author>
    <b:JournalName>Minds and Machines</b:JournalName>
    <b:Pages>349-379</b:Pages>
    <b:Volume>14</b:Volume>
    <b:Issue>3</b:Issue>
    <b:URL>https://doi.org/10.1023/B:MIND.0000035461.63578.9d</b:URL>
    <b:RefOrder>28</b:RefOrder>
  </b:Source>
  <b:Source>
    <b:Tag>Ris13</b:Tag>
    <b:SourceType>JournalArticle</b:SourceType>
    <b:Guid>{838E24EB-B4DE-4BD9-9B49-A62B56840446}</b:Guid>
    <b:Title>The rational design of international institutions</b:Title>
    <b:JournalName>International Organization</b:JournalName>
    <b:Year>2013</b:Year>
    <b:Pages>611-624</b:Pages>
    <b:Author>
      <b:Author>
        <b:NameList>
          <b:Person>
            <b:Last>Risse</b:Last>
            <b:First>T</b:First>
          </b:Person>
          <b:Person>
            <b:Last>Ruggie</b:Last>
            <b:Middle>G</b:Middle>
            <b:First>J</b:First>
          </b:Person>
          <b:Person>
            <b:Last>Zürn</b:Last>
            <b:First>M</b:First>
          </b:Person>
        </b:NameList>
      </b:Author>
    </b:Author>
    <b:Volume>67</b:Volume>
    <b:Issue>4</b:Issue>
    <b:RefOrder>20</b:RefOrder>
  </b:Source>
  <b:Source>
    <b:Tag>Suc95</b:Tag>
    <b:SourceType>JournalArticle</b:SourceType>
    <b:Guid>{99EB8B5B-C9E6-4599-B286-BC24C88AB6F7}</b:Guid>
    <b:Author>
      <b:Author>
        <b:NameList>
          <b:Person>
            <b:Last>Suchman</b:Last>
            <b:First>M.</b:First>
            <b:Middle>C.</b:Middle>
          </b:Person>
        </b:NameList>
      </b:Author>
    </b:Author>
    <b:Title>Managing legitimacy: Strategic and institutional approaches</b:Title>
    <b:JournalName>Academy of Management Review</b:JournalName>
    <b:Year>1995</b:Year>
    <b:Pages>571-610</b:Pages>
    <b:Volume>20</b:Volume>
    <b:Issue>3</b:Issue>
    <b:RefOrder>21</b:RefOrder>
  </b:Source>
  <b:Source>
    <b:Tag>Ber11</b:Tag>
    <b:SourceType>JournalArticle</b:SourceType>
    <b:Guid>{89342F7F-F9C2-4142-AA12-C05B76B0F3EB}</b:Guid>
    <b:Author>
      <b:Author>
        <b:NameList>
          <b:Person>
            <b:Last>Bernstein</b:Last>
            <b:First>S.</b:First>
          </b:Person>
        </b:NameList>
      </b:Author>
    </b:Author>
    <b:Title>Legitimacy in intergovernmental and non-state global governance</b:Title>
    <b:JournalName>Review of International Political Economy</b:JournalName>
    <b:Year>2011</b:Year>
    <b:Pages>17-51</b:Pages>
    <b:Volume>18</b:Volume>
    <b:Issue>1</b:Issue>
    <b:RefOrder>22</b:RefOrder>
  </b:Source>
  <b:Source>
    <b:Tag>DeG16</b:Tag>
    <b:SourceType>JournalArticle</b:SourceType>
    <b:Guid>{FE89385C-7979-44CC-9723-42152464D0A3}</b:Guid>
    <b:Title>Coping with public value conflicts</b:Title>
    <b:JournalName>Administration &amp; Society</b:JournalName>
    <b:Year>2016</b:Year>
    <b:Pages>1101-1126</b:Pages>
    <b:Author>
      <b:Author>
        <b:NameList>
          <b:Person>
            <b:Last>De Graff, G</b:Last>
          </b:Person>
          <b:Person>
            <b:Last>Huberts</b:Last>
            <b:First>L</b:First>
          </b:Person>
          <b:Person>
            <b:Last>Smulders</b:Last>
            <b:First>R</b:First>
          </b:Person>
        </b:NameList>
      </b:Author>
    </b:Author>
    <b:Volume>48</b:Volume>
    <b:Issue>9</b:Issue>
    <b:RefOrder>29</b:RefOrder>
  </b:Source>
  <b:Source>
    <b:Tag>Eur191</b:Tag>
    <b:SourceType>InternetSite</b:SourceType>
    <b:Guid>{55DEECE8-B141-4F9B-B195-AFFBE007CC1F}</b:Guid>
    <b:Author>
      <b:Author>
        <b:Corporate>European Commission</b:Corporate>
      </b:Author>
    </b:Author>
    <b:Title>Ethics Guidelines for Trustworthy AI</b:Title>
    <b:InternetSiteTitle>European Commission</b:InternetSiteTitle>
    <b:Year>2019</b:Year>
    <b:Month>April</b:Month>
    <b:Day>8</b:Day>
    <b:URL>https://ec.europa.eu/newsroom/dae/document.cfm?doc_id=60419</b:URL>
    <b:RefOrder>1</b:RefOrder>
  </b:Source>
  <b:Source>
    <b:Tag>Goo18</b:Tag>
    <b:SourceType>ElectronicSource</b:SourceType>
    <b:Guid>{71A656AD-9354-488E-A3A8-826AA5CAD10A}</b:Guid>
    <b:Author>
      <b:Author>
        <b:Corporate>Google</b:Corporate>
      </b:Author>
    </b:Author>
    <b:Title>AI at Google: Our principles.</b:Title>
    <b:Year>2018</b:Year>
    <b:URL>https://ai.google/responsibility/principles</b:URL>
    <b:RefOrder>2</b:RefOrder>
  </b:Source>
  <b:Source>
    <b:Tag>Goo21</b:Tag>
    <b:SourceType>InternetSite</b:SourceType>
    <b:Guid>{9DE43FF7-6785-4CCE-9C36-C1A44C8B1867}</b:Guid>
    <b:Author>
      <b:Author>
        <b:Corporate>Google</b:Corporate>
      </b:Author>
    </b:Author>
    <b:InternetSiteTitle>AI Principles</b:InternetSiteTitle>
    <b:Year>2021</b:Year>
    <b:URL>https://ai.google/principles/</b:URL>
    <b:RefOrder>3</b:RefOrder>
  </b:Source>
  <b:Source>
    <b:Tag>Goo23</b:Tag>
    <b:SourceType>ElectronicSource</b:SourceType>
    <b:Guid>{A7E25AC0-985D-4FC4-A76A-3C07D325E504}</b:Guid>
    <b:Author>
      <b:Author>
        <b:Corporate>Google</b:Corporate>
      </b:Author>
    </b:Author>
    <b:Title>AI principles progress update</b:Title>
    <b:Year>2023</b:Year>
    <b:URL>https://ai.google/static/documents/ai-principles-2023-progress-update.pdf</b:URL>
    <b:RefOrder>4</b:RefOrder>
  </b:Source>
  <b:Source>
    <b:Tag>Uni48</b:Tag>
    <b:SourceType>InternetSite</b:SourceType>
    <b:Guid>{46C8BBCE-2CC8-46C7-B693-7E2051731D6B}</b:Guid>
    <b:Title>Universal Declaration of Human Rights</b:Title>
    <b:Year>1948</b:Year>
    <b:Author>
      <b:Author>
        <b:Corporate>United Nations</b:Corporate>
      </b:Author>
    </b:Author>
    <b:Month>December</b:Month>
    <b:Day>10</b:Day>
    <b:URL>https://www.un.org/en/about-us/universal-declaration-of-human-rights</b:URL>
    <b:RefOrder>9</b:RefOrder>
  </b:Source>
  <b:Source>
    <b:Tag>Eur16</b:Tag>
    <b:SourceType>Report</b:SourceType>
    <b:Guid>{F0C1C993-3BB6-4BE3-81A0-16E7D4CD58CF}</b:Guid>
    <b:Title>Regulation (EU) 2016/679 of the European Parliament and of the Council</b:Title>
    <b:Year>2016</b:Year>
    <b:URL>https://eur-lex.europa.eu/eli/reg/2016/679/oj</b:URL>
    <b:Author>
      <b:Author>
        <b:Corporate>European Union</b:Corporate>
      </b:Author>
    </b:Author>
    <b:RefOrder>10</b:RefOrder>
  </b:Source>
  <b:Source>
    <b:Tag>IBM24</b:Tag>
    <b:SourceType>InternetSite</b:SourceType>
    <b:Guid>{F42BE989-EA1E-41F9-92FB-E828AB9FED91}</b:Guid>
    <b:Title>What is NLP (natural language processing)?</b:Title>
    <b:Year>2024</b:Year>
    <b:Author>
      <b:Author>
        <b:NameList>
          <b:Person>
            <b:Last>IBM</b:Last>
          </b:Person>
        </b:NameList>
      </b:Author>
    </b:Author>
    <b:Month>August</b:Month>
    <b:Day>11</b:Day>
    <b:URL>https://www.ibm.com/topics/natural-language-processing</b:URL>
    <b:RefOrder>30</b:RefOrder>
  </b:Source>
  <b:Source>
    <b:Tag>Bom</b:Tag>
    <b:SourceType>JournalArticle</b:SourceType>
    <b:Guid>{7E54BA12-6825-42E1-B118-61AB2FF1363A}</b:Guid>
    <b:Title>LexNLP: Natural language processing and information extraction for legal and regulatory texts</b:Title>
    <b:URL>https://arxiv.org/abs/1806.03688</b:URL>
    <b:Author>
      <b:Author>
        <b:NameList>
          <b:Person>
            <b:Last>Bommarito II</b:Last>
            <b:First>M</b:First>
            <b:Middle>J</b:Middle>
          </b:Person>
          <b:Person>
            <b:Last>Katz</b:Last>
            <b:First>D</b:First>
            <b:Middle>M</b:Middle>
          </b:Person>
          <b:Person>
            <b:Last>Detterman</b:Last>
            <b:First>E</b:First>
            <b:Middle>M</b:Middle>
          </b:Person>
        </b:NameList>
      </b:Author>
    </b:Author>
    <b:JournalName>arXiv</b:JournalName>
    <b:Year>2018</b:Year>
    <b:RefOrder>31</b:RefOrder>
  </b:Source>
  <b:Source>
    <b:Tag>Dai21</b:Tag>
    <b:SourceType>JournalArticle</b:SourceType>
    <b:Guid>{E59619FC-A78F-4554-97AF-8E4A7FDF68AB}</b:Guid>
    <b:Title>Considerations for developing a reassessment process: Report fromthe Canadian real-world evidence for value of cancer drugs (CanREValue) collaboration' reassment and uptake working group</b:Title>
    <b:Year>2021</b:Year>
    <b:JournalName>Curr Oncol</b:JournalName>
    <b:Pages>4174-4183</b:Pages>
    <b:Author>
      <b:Author>
        <b:NameList>
          <b:Person>
            <b:Last>Dai</b:Last>
            <b:Middle>F</b:Middle>
            <b:First>W</b:First>
          </b:Person>
          <b:Person>
            <b:Last>Arciero</b:Last>
            <b:First>V</b:First>
          </b:Person>
          <b:Person>
            <b:Last>Craig</b:Last>
            <b:First>E</b:First>
          </b:Person>
          <b:Person>
            <b:Last>Fraser</b:Last>
            <b:First>B</b:First>
          </b:Person>
          <b:Person>
            <b:Last>Arias</b:Last>
            <b:First>J</b:First>
          </b:Person>
          <b:Person>
            <b:Last>Boehm</b:Last>
            <b:First>D</b:First>
          </b:Person>
          <b:Person>
            <b:Last>Bosnic</b:Last>
            <b:First>N</b:First>
          </b:Person>
          <b:Person>
            <b:Last>Caetano</b:Last>
            <b:First>P</b:First>
          </b:Person>
          <b:Person>
            <b:Last>Chambers</b:Last>
            <b:First>C</b:First>
          </b:Person>
          <b:Person>
            <b:Last>Jones</b:Last>
            <b:First>B</b:First>
          </b:Person>
          <b:Person>
            <b:Last>Lungu</b:Last>
            <b:First>E</b:First>
          </b:Person>
          <b:Person>
            <b:Last>Mitera</b:Last>
            <b:First>G</b:First>
          </b:Person>
          <b:Person>
            <b:Last>Potashnik</b:Last>
            <b:First>T</b:First>
          </b:Person>
          <b:Person>
            <b:Last>Reiman</b:Last>
            <b:First>A</b:First>
          </b:Person>
          <b:Person>
            <b:Last>Ritcher</b:Last>
            <b:First>T</b:First>
          </b:Person>
          <b:Person>
            <b:Last>Beca</b:Last>
            <b:Middle>M</b:Middle>
            <b:First>J</b:First>
          </b:Person>
          <b:Person>
            <b:Last>Denburg</b:Last>
            <b:First>A</b:First>
          </b:Person>
          <b:Person>
            <b:Last>Mercer</b:Last>
            <b:Middle>E</b:Middle>
            <b:First>R</b:First>
          </b:Person>
          <b:Person>
            <b:Last>Parmar</b:Last>
            <b:First>A</b:First>
          </b:Person>
          <b:Person>
            <b:Last>Tadrous</b:Last>
            <b:First>M</b:First>
          </b:Person>
          <b:Person>
            <b:Last>Takhar</b:Last>
            <b:First>P</b:First>
          </b:Person>
          <b:Person>
            <b:Last>Chan</b:Last>
            <b:Middle>KW</b:Middle>
            <b:First>K</b:First>
          </b:Person>
        </b:NameList>
      </b:Author>
    </b:Author>
    <b:Month>October</b:Month>
    <b:Volume>28</b:Volume>
    <b:Issue>5</b:Issue>
    <b:DOI>doi: 10.3390/curroncol28050354</b:DOI>
    <b:RefOrder>32</b:RefOrder>
  </b:Source>
  <b:Source>
    <b:Tag>DeC22</b:Tag>
    <b:SourceType>JournalArticle</b:SourceType>
    <b:Guid>{E8E1600C-3F22-4E28-A8F0-2B144E6AA70F}</b:Guid>
    <b:Author>
      <b:Author>
        <b:NameList>
          <b:Person>
            <b:Last>De Cesare</b:Last>
            <b:First>S</b:First>
          </b:Person>
        </b:NameList>
      </b:Author>
    </b:Author>
    <b:Title>Values in evolutionary biology: A comparison between the contemporary debate on organize pgoress and Canguilhem's biological philosophy</b:Title>
    <b:JournalName>History and Philosophy of the Life Sciences</b:JournalName>
    <b:Year>2022</b:Year>
    <b:Pages>Article 8</b:Pages>
    <b:Volume>44</b:Volume>
    <b:Issue>2</b:Issue>
    <b:DOI>https://doi.org/10.1007/s40656-022-00495-3</b:DOI>
    <b:RefOrder>14</b:RefOrder>
  </b:Source>
  <b:Source>
    <b:Tag>Placeholder1</b:Tag>
    <b:SourceType>JournalArticle</b:SourceType>
    <b:Guid>{7C45B9F4-B06B-45B7-AE4E-8B0D5DF05521}</b:Guid>
    <b:RefOrder>33</b:RefOrder>
  </b:Source>
  <b:Source>
    <b:Tag>Ste211</b:Tag>
    <b:SourceType>Misc</b:SourceType>
    <b:Guid>{E16BC3C9-F002-4002-86D2-10FF181CA5D5}</b:Guid>
    <b:Title>Ethical drift: When good people do bad things</b:Title>
    <b:Year>2012</b:Year>
    <b:Author>
      <b:Author>
        <b:NameList>
          <b:Person>
            <b:Last>Sternberg</b:Last>
            <b:First>E</b:First>
          </b:Person>
        </b:NameList>
      </b:Author>
    </b:Author>
    <b:PublicationTitle>Use of machine learning to predict ethical drift in law enforcement</b:PublicationTitle>
    <b:Publisher>Walden University</b:Publisher>
    <b:URL>https://scholarworks.waldenu.edu/dissertations/10869</b:URL>
    <b:Comments>This is an unpublished PhD by E. Sternberg in 2012 cited in Mann (2020)</b:Comments>
    <b:RefOrder>12</b:RefOrder>
  </b:Source>
  <b:Source>
    <b:Tag>Man20</b:Tag>
    <b:SourceType>Report</b:SourceType>
    <b:Guid>{32922263-31C8-40C6-8305-6A6652DE74D9}</b:Guid>
    <b:Title>Use of machine learning to predict ethical drift in law enforcement</b:Title>
    <b:Year>2020</b:Year>
    <b:Publisher>Walden University</b:Publisher>
    <b:Author>
      <b:Author>
        <b:NameList>
          <b:Person>
            <b:Last>Mann</b:Last>
            <b:First>L.</b:First>
            <b:Middle>S.</b:Middle>
          </b:Person>
        </b:NameList>
      </b:Author>
    </b:Author>
    <b:URL>https://scholarworks.waldenu.edu/dissertations/10869</b:URL>
    <b:RefOrder>11</b:RefOrder>
  </b:Source>
  <b:Source>
    <b:Tag>Dai22</b:Tag>
    <b:SourceType>Report</b:SourceType>
    <b:Guid>{9DD0304C-4F3F-4B4B-87D2-133D4A3230C7}</b:Guid>
    <b:Title>Values in flux: How AI reshapes what we care about</b:Title>
    <b:Year>2022</b:Year>
    <b:Publisher>CHI Conference on Human Factors in Computing Systems</b:Publisher>
    <b:Author>
      <b:Author>
        <b:NameList>
          <b:Person>
            <b:Last>Dai</b:Last>
            <b:First>R</b:First>
          </b:Person>
          <b:Person>
            <b:Last>Liao</b:Last>
            <b:Middle>V</b:Middle>
            <b:First>Q</b:First>
          </b:Person>
          <b:Person>
            <b:Last>Muller</b:Last>
            <b:First>M</b:First>
          </b:Person>
          <b:Person>
            <b:Last>Piorkowski</b:Last>
            <b:First>D</b:First>
          </b:Person>
          <b:Person>
            <b:Last>Rivera</b:Last>
            <b:First>J</b:First>
          </b:Person>
          <b:Person>
            <b:Last>Bellamy</b:Last>
            <b:Middle>K.E.</b:Middle>
            <b:First>R</b:First>
          </b:Person>
        </b:NameList>
      </b:Author>
    </b:Author>
    <b:URL>https://doi.org/10.1145/3491102.3517674</b:URL>
    <b:RefOrder>13</b:RefOrder>
  </b:Source>
  <b:Source>
    <b:Tag>Fox01</b:Tag>
    <b:SourceType>Book</b:SourceType>
    <b:Guid>{191F8241-3DAF-4EA4-9307-CC989F4A5A41}</b:Guid>
    <b:Author>
      <b:Author>
        <b:NameList>
          <b:Person>
            <b:Last>Fox</b:Last>
            <b:First>Richard</b:First>
            <b:Middle>M.</b:Middle>
          </b:Person>
          <b:Person>
            <b:Last>DeMarco</b:Last>
            <b:Middle>P</b:Middle>
            <b:First>Joseph</b:First>
          </b:Person>
        </b:NameList>
      </b:Author>
    </b:Author>
    <b:Title>Moral reasoning: a philosophical approach to applied ethics</b:Title>
    <b:Year>2001</b:Year>
    <b:Publisher>Cleveland State University</b:Publisher>
    <b:RefOrder>18</b:RefOrder>
  </b:Source>
  <b:Source>
    <b:Tag>Job191</b:Tag>
    <b:SourceType>JournalArticle</b:SourceType>
    <b:Guid>{6BA8E3BD-1424-48C1-88E4-A2AF69EEBADA}</b:Guid>
    <b:Title>The global landscape of AI ethics guidelines</b:Title>
    <b:Year>2019</b:Year>
    <b:JournalName>Nature Machine Intelligence</b:JournalName>
    <b:Pages>389-399</b:Pages>
    <b:Author>
      <b:Author>
        <b:NameList>
          <b:Person>
            <b:Last>Jobin</b:Last>
            <b:First>A</b:First>
          </b:Person>
          <b:Person>
            <b:Last>Ienca</b:Last>
            <b:First>M</b:First>
          </b:Person>
          <b:Person>
            <b:Last>Vayena</b:Last>
            <b:First>E</b:First>
          </b:Person>
        </b:NameList>
      </b:Author>
    </b:Author>
    <b:Volume>1</b:Volume>
    <b:Issue>9</b:Issue>
    <b:DOI>https://www.nature.com/articles/s42256-019-0088-2</b:DOI>
    <b:RefOrder>15</b:RefOrder>
  </b:Source>
  <b:Source>
    <b:Tag>Har211</b:Tag>
    <b:SourceType>Report</b:SourceType>
    <b:Guid>{EB642485-A143-4850-9952-449FB59DBEAA}</b:Guid>
    <b:Title>Principled artificial intelligence: Mapping consensus in ethical and rights-based approaches to principles for AI</b:Title>
    <b:Year>2020</b:Year>
    <b:Publisher>Berkman Klein Center</b:Publisher>
    <b:Author>
      <b:Author>
        <b:NameList>
          <b:Person>
            <b:Last>Fjeld</b:Last>
            <b:First>J</b:First>
          </b:Person>
          <b:Person>
            <b:Last>Achten</b:Last>
            <b:First>N</b:First>
          </b:Person>
          <b:Person>
            <b:Last>Hilligoss</b:Last>
            <b:First>H</b:First>
          </b:Person>
          <b:Person>
            <b:Last>Nagy</b:Last>
            <b:First>A</b:First>
          </b:Person>
          <b:Person>
            <b:Last>Srikumar</b:Last>
            <b:First>M</b:First>
          </b:Person>
        </b:NameList>
      </b:Author>
    </b:Author>
    <b:URL>https://cyber.harvard.edu/publication/2020/principled-ai</b:URL>
    <b:Department>Berkman Klein Center for Internet &amp; Scoiety</b:Department>
    <b:Institution>Harvard</b:Institution>
    <b:RefOrder>16</b:RefOrder>
  </b:Source>
  <b:Source>
    <b:Tag>Flo19</b:Tag>
    <b:SourceType>JournalArticle</b:SourceType>
    <b:Guid>{388B2977-DAB0-4E71-81D5-3A339228BC96}</b:Guid>
    <b:Title>A unified framework of five principles for AI in society</b:Title>
    <b:Year>2019</b:Year>
    <b:JournalName>Harvard Data Science Review</b:JournalName>
    <b:Author>
      <b:Author>
        <b:NameList>
          <b:Person>
            <b:Last>Floridi</b:Last>
            <b:First>L</b:First>
          </b:Person>
          <b:Person>
            <b:Last>Cowls</b:Last>
            <b:First>J</b:First>
          </b:Person>
        </b:NameList>
      </b:Author>
    </b:Author>
    <b:RefOrder>17</b:RefOrder>
  </b:Source>
  <b:Source>
    <b:Tag>Rei19</b:Tag>
    <b:SourceType>JournalArticle</b:SourceType>
    <b:Guid>{44A06B1E-DB29-4441-82F9-95D512DDD6DD}</b:Guid>
    <b:Title>Sentence-BERT: Sentence embeddings using Siamese BERT-networks</b:Title>
    <b:Year>2019</b:Year>
    <b:Publisher>Association for Computational Linguistics</b:Publisher>
    <b:JournalName>Proceedings of the 2019 Conference on Empirical Methods in Natural Language Processing (EMNLP)</b:JournalName>
    <b:Pages>3982-3992</b:Pages>
    <b:Author>
      <b:Author>
        <b:NameList>
          <b:Person>
            <b:Last>Reimers</b:Last>
            <b:First>N</b:First>
          </b:Person>
          <b:Person>
            <b:Last>Gureyvch</b:Last>
            <b:First>I</b:First>
          </b:Person>
        </b:NameList>
      </b:Author>
    </b:Author>
    <b:URL>https://doi.org/10.18653/v1/D19-1410</b:URL>
    <b:RefOrder>19</b:RefOrder>
  </b:Source>
  <b:Source>
    <b:Tag>Hin253</b:Tag>
    <b:SourceType>JournalArticle</b:SourceType>
    <b:Guid>{3FAF8CEA-886F-4BE4-B868-EF9AE5272C1B}</b:Guid>
    <b:Author>
      <b:Author>
        <b:NameList>
          <b:Person>
            <b:Last>Hinrichs</b:Last>
            <b:First>R</b:First>
          </b:Person>
        </b:NameList>
      </b:Author>
    </b:Author>
    <b:Title>A methodology and empirical approach to the AI moral code</b:Title>
    <b:JournalName>Proceedings of the IEEE International Conference on Artificial Intelligence and Data Analytics (ICAD 2025)</b:JournalName>
    <b:Year>2025</b:Year>
    <b:RefOrder>23</b:RefOrder>
  </b:Source>
</b:Sources>
</file>

<file path=customXml/itemProps1.xml><?xml version="1.0" encoding="utf-8"?>
<ds:datastoreItem xmlns:ds="http://schemas.openxmlformats.org/officeDocument/2006/customXml" ds:itemID="{CD498E4E-215B-4C56-9607-EEF81FADB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PhD Dissertation Idaho Template.dotx</Template>
  <TotalTime>615</TotalTime>
  <Pages>13</Pages>
  <Words>2775</Words>
  <Characters>15822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Hinrichs</dc:creator>
  <cp:keywords/>
  <dc:description/>
  <cp:lastModifiedBy>Ran Hinrichs</cp:lastModifiedBy>
  <cp:revision>6</cp:revision>
  <cp:lastPrinted>2025-06-27T19:11:00Z</cp:lastPrinted>
  <dcterms:created xsi:type="dcterms:W3CDTF">2025-06-19T23:56:00Z</dcterms:created>
  <dcterms:modified xsi:type="dcterms:W3CDTF">2025-06-27T19:16:00Z</dcterms:modified>
</cp:coreProperties>
</file>