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12169"/>
          <w:sz w:val="44"/>
        </w:rPr>
        <w:t>Speaker Notes — LGS Master's Programs Pricing Analysis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tcBorders>
              <w:top w:val="nil"/>
              <w:left w:val="nil"/>
              <w:right w:val="nil"/>
              <w:bottom w:val="single" w:sz="18" w:color="F2A900"/>
            </w:tcBorders>
          </w:tcPr>
          <w:p>
            <w:pPr>
              <w:spacing w:before="0" w:after="0"/>
            </w:pPr>
            <w:r/>
          </w:p>
        </w:tc>
      </w:tr>
    </w:tbl>
    <w:p>
      <w:pPr>
        <w:jc w:val="center"/>
      </w:pPr>
      <w:r>
        <w:rPr>
          <w:rFonts w:ascii="Calibri" w:hAnsi="Calibri"/>
          <w:color w:val="F2A900"/>
          <w:sz w:val="26"/>
        </w:rPr>
        <w:t>Emory Laney Graduate School — Phase 2 (v2) · April 23, 2026</w:t>
      </w:r>
    </w:p>
    <w:p/>
    <w:p>
      <w:pPr>
        <w:spacing w:after="160"/>
      </w:pPr>
      <w:r>
        <w:rPr>
          <w:rFonts w:ascii="Calibri" w:hAnsi="Calibri"/>
          <w:color w:val="222222"/>
          <w:sz w:val="22"/>
        </w:rPr>
        <w:t>One section per deck slide. v2 updates reflect the sub-$20k pricing filter applied to df_pricing: 11 partial-term rows excluded from discount-rate, gross-vs-net, and peer-benchmark metrics only. Full population retained for enrollment counts and international mix.</w:t>
      </w:r>
    </w:p>
    <w:p>
      <w:pPr>
        <w:spacing w:before="240" w:after="80"/>
      </w:pPr>
      <w:r>
        <w:rPr>
          <w:rFonts w:ascii="Calibri" w:hAnsi="Calibri"/>
          <w:b/>
          <w:color w:val="012169"/>
          <w:sz w:val="30"/>
        </w:rPr>
        <w:t>Slide 1 — Title</w:t>
      </w:r>
    </w:p>
    <w:p>
      <w:pPr>
        <w:pStyle w:val="ListBullet"/>
        <w:spacing w:after="80"/>
      </w:pPr>
      <w:r>
        <w:rPr>
          <w:rFonts w:ascii="Calibri" w:hAnsi="Calibri"/>
          <w:color w:val="222222"/>
          <w:sz w:val="22"/>
        </w:rPr>
        <w:t>Scope: Emory LGS master's programs, AY 2019 through AY 2026, 10 programs, 493 student-program enrollments.</w:t>
      </w:r>
    </w:p>
    <w:p>
      <w:pPr>
        <w:pStyle w:val="ListBullet"/>
        <w:spacing w:after="80"/>
      </w:pPr>
      <w:r>
        <w:rPr>
          <w:rFonts w:ascii="Calibri" w:hAnsi="Calibri"/>
          <w:color w:val="222222"/>
          <w:sz w:val="22"/>
        </w:rPr>
        <w:t>This is the v2 cut: pricing metrics now exclude 11 partial-term rows under $20,000 in total billed tuition. Enrollment counts and the international mix still reflect the full 493.</w:t>
      </w:r>
    </w:p>
    <w:p/>
    <w:p>
      <w:pPr>
        <w:spacing w:before="240" w:after="80"/>
      </w:pPr>
      <w:r>
        <w:rPr>
          <w:rFonts w:ascii="Calibri" w:hAnsi="Calibri"/>
          <w:b/>
          <w:color w:val="012169"/>
          <w:sz w:val="30"/>
        </w:rPr>
        <w:t>Slide 2 — Executive Summary</w:t>
      </w:r>
    </w:p>
    <w:p>
      <w:pPr>
        <w:pStyle w:val="ListBullet"/>
        <w:spacing w:after="80"/>
      </w:pPr>
      <w:r>
        <w:rPr>
          <w:rFonts w:ascii="Calibri" w:hAnsi="Calibri"/>
          <w:color w:val="222222"/>
          <w:sz w:val="22"/>
        </w:rPr>
        <w:t>Lead with MDP: costliest program on both gross and net basis, and the single biggest absolute tuition give.</w:t>
      </w:r>
    </w:p>
    <w:p>
      <w:pPr>
        <w:pStyle w:val="ListBullet"/>
        <w:spacing w:after="80"/>
      </w:pPr>
      <w:r>
        <w:rPr>
          <w:rFonts w:ascii="Calibri" w:hAnsi="Calibri"/>
          <w:color w:val="222222"/>
          <w:sz w:val="22"/>
        </w:rPr>
        <w:t>Flag Data Science (n=11) and MBID (n=8) as 0%-discount anomalies — obvious targets for a pricing review.</w:t>
      </w:r>
    </w:p>
    <w:p>
      <w:pPr>
        <w:pStyle w:val="ListBullet"/>
        <w:spacing w:after="80"/>
      </w:pPr>
      <w:r>
        <w:rPr>
          <w:rFonts w:ascii="Calibri" w:hAnsi="Calibri"/>
          <w:color w:val="222222"/>
          <w:sz w:val="22"/>
        </w:rPr>
        <w:t>Bimodal enrollment: CS + MDP = 59% of the sample; this is a portfolio of two big programs plus a long tail.</w:t>
      </w:r>
    </w:p>
    <w:p>
      <w:pPr>
        <w:pStyle w:val="ListBullet"/>
        <w:spacing w:after="80"/>
      </w:pPr>
      <w:r>
        <w:rPr>
          <w:rFonts w:ascii="Calibri" w:hAnsi="Calibri"/>
          <w:color w:val="222222"/>
          <w:sz w:val="22"/>
        </w:rPr>
        <w:t>High international share doesn't bring aid down — CS is 86% international AND ~49% discounted.</w:t>
      </w:r>
    </w:p>
    <w:p>
      <w:pPr>
        <w:pStyle w:val="ListBullet"/>
        <w:spacing w:after="80"/>
      </w:pPr>
      <w:r>
        <w:rPr>
          <w:rFonts w:ascii="Calibri" w:hAnsi="Calibri"/>
          <w:color w:val="222222"/>
          <w:sz w:val="22"/>
        </w:rPr>
        <w:t>Emory is mid-pack: $47–51k annualized, below Columbia/NYU and above Georgia Tech's in-state rates.</w:t>
      </w:r>
    </w:p>
    <w:p/>
    <w:p>
      <w:pPr>
        <w:spacing w:before="240" w:after="80"/>
      </w:pPr>
      <w:r>
        <w:rPr>
          <w:rFonts w:ascii="Calibri" w:hAnsi="Calibri"/>
          <w:b/>
          <w:color w:val="012169"/>
          <w:sz w:val="30"/>
        </w:rPr>
        <w:t>Slide 3 — Discount rate by program</w:t>
      </w:r>
    </w:p>
    <w:p>
      <w:pPr>
        <w:pStyle w:val="ListBullet"/>
        <w:spacing w:after="80"/>
      </w:pPr>
      <w:r>
        <w:rPr>
          <w:rFonts w:ascii="Calibri" w:hAnsi="Calibri"/>
          <w:color w:val="222222"/>
          <w:sz w:val="22"/>
        </w:rPr>
        <w:t>Top: MDP 55%, CS 4+1 49.4%, Computer Science 49.2%. These three are the institutional-aid heavyweights.</w:t>
      </w:r>
    </w:p>
    <w:p>
      <w:pPr>
        <w:pStyle w:val="ListBullet"/>
        <w:spacing w:after="80"/>
      </w:pPr>
      <w:r>
        <w:rPr>
          <w:rFonts w:ascii="Calibri" w:hAnsi="Calibri"/>
          <w:color w:val="222222"/>
          <w:sz w:val="22"/>
        </w:rPr>
        <w:t>Middle band: Math 41%, Economics 34%, Cancer Biology 4+1 26%.</w:t>
      </w:r>
    </w:p>
    <w:p>
      <w:pPr>
        <w:pStyle w:val="ListBullet"/>
        <w:spacing w:after="80"/>
      </w:pPr>
      <w:r>
        <w:rPr>
          <w:rFonts w:ascii="Calibri" w:hAnsi="Calibri"/>
          <w:color w:val="222222"/>
          <w:sz w:val="22"/>
        </w:rPr>
        <w:t>Bottom: Bioethics 9.5% and Bioethics 4+1 16%; Data Science and MBID at 0%.</w:t>
      </w:r>
    </w:p>
    <w:p>
      <w:pPr>
        <w:pStyle w:val="ListBullet"/>
        <w:spacing w:after="80"/>
      </w:pPr>
      <w:r>
        <w:rPr>
          <w:rFonts w:ascii="Calibri" w:hAnsi="Calibri"/>
          <w:color w:val="222222"/>
          <w:sz w:val="22"/>
        </w:rPr>
        <w:t>Uses the pricing filter (482 full-load students). Dropping the 11 sub-$20k rows barely moves any individual bar — the comparisons are robust to that choice — but it keeps the metric defensible.</w:t>
      </w:r>
    </w:p>
    <w:p/>
    <w:p>
      <w:pPr>
        <w:spacing w:before="240" w:after="80"/>
      </w:pPr>
      <w:r>
        <w:rPr>
          <w:rFonts w:ascii="Calibri" w:hAnsi="Calibri"/>
          <w:b/>
          <w:color w:val="012169"/>
          <w:sz w:val="30"/>
        </w:rPr>
        <w:t>Slide 4 — Fall: Per-Semester Gross vs Net by Program</w:t>
      </w:r>
    </w:p>
    <w:p>
      <w:pPr>
        <w:spacing w:before="80" w:after="40"/>
      </w:pPr>
      <w:r>
        <w:rPr>
          <w:rFonts w:ascii="Calibri" w:hAnsi="Calibri"/>
          <w:b/>
          <w:color w:val="012169"/>
          <w:sz w:val="22"/>
        </w:rPr>
        <w:t>What to say</w:t>
      </w:r>
    </w:p>
    <w:p>
      <w:pPr>
        <w:pStyle w:val="ListBullet"/>
        <w:spacing w:after="80"/>
      </w:pPr>
      <w:r>
        <w:rPr>
          <w:rFonts w:ascii="Calibri" w:hAnsi="Calibri"/>
          <w:color w:val="222222"/>
          <w:sz w:val="22"/>
        </w:rPr>
        <w:t>Frame this as a per-semester view, not annualized — students are billed roughly twice these amounts across Fall + Spring.</w:t>
      </w:r>
    </w:p>
    <w:p>
      <w:pPr>
        <w:pStyle w:val="ListBullet"/>
        <w:spacing w:after="80"/>
      </w:pPr>
      <w:r>
        <w:rPr>
          <w:rFonts w:ascii="Calibri" w:hAnsi="Calibri"/>
          <w:color w:val="222222"/>
          <w:sz w:val="22"/>
        </w:rPr>
        <w:t>All ten programs appear in Fall. Gross billings cluster tightly in the $20–24k range; the right tail (Bioethics) sits lower at ~$14k.</w:t>
      </w:r>
    </w:p>
    <w:p>
      <w:pPr>
        <w:pStyle w:val="ListBullet"/>
        <w:spacing w:after="80"/>
      </w:pPr>
      <w:r>
        <w:rPr>
          <w:rFonts w:ascii="Calibri" w:hAnsi="Calibri"/>
          <w:color w:val="222222"/>
          <w:sz w:val="22"/>
        </w:rPr>
        <w:t>Top of the chart: MBID and Data Science show gross = net — zero LGS aid in Fall, consistent with their portfolio-wide 0% discount.</w:t>
      </w:r>
    </w:p>
    <w:p>
      <w:pPr>
        <w:pStyle w:val="ListBullet"/>
        <w:spacing w:after="80"/>
      </w:pPr>
      <w:r>
        <w:rPr>
          <w:rFonts w:ascii="Calibri" w:hAnsi="Calibri"/>
          <w:color w:val="222222"/>
          <w:sz w:val="22"/>
        </w:rPr>
        <w:t>Economics is the standout in Fall: $24k gross → $16k net, the largest absolute per-semester give among high-gross programs.</w:t>
      </w:r>
    </w:p>
    <w:p>
      <w:pPr>
        <w:pStyle w:val="ListBullet"/>
        <w:spacing w:after="80"/>
      </w:pPr>
      <w:r>
        <w:rPr>
          <w:rFonts w:ascii="Calibri" w:hAnsi="Calibri"/>
          <w:color w:val="222222"/>
          <w:sz w:val="22"/>
        </w:rPr>
        <w:t>Computer Science, CS 4+1, Math, and MDP each show roughly half off through LGS aid in Fall.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4D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2A900"/>
                <w:sz w:val="22"/>
              </w:rPr>
              <w:t xml:space="preserve">TIP — </w:t>
            </w:r>
            <w:r>
              <w:rPr>
                <w:rFonts w:ascii="Calibri" w:hAnsi="Calibri"/>
                <w:color w:val="222222"/>
                <w:sz w:val="22"/>
              </w:rPr>
              <w:t>Open by reminding the audience that the y-axis is per-semester. The same student is billed roughly twice this amount over Fall + Spring — and for 3-term programs (MDP, Data Science) there is a Summer billing on top of that.</w:t>
            </w:r>
          </w:p>
        </w:tc>
      </w:tr>
    </w:tbl>
    <w:p/>
    <w:p>
      <w:pPr>
        <w:spacing w:before="240" w:after="80"/>
      </w:pPr>
      <w:r>
        <w:rPr>
          <w:rFonts w:ascii="Calibri" w:hAnsi="Calibri"/>
          <w:b/>
          <w:color w:val="012169"/>
          <w:sz w:val="30"/>
        </w:rPr>
        <w:t>Slide 5 — Spring: Per-Semester Gross vs Net by Program</w:t>
      </w:r>
    </w:p>
    <w:p>
      <w:pPr>
        <w:spacing w:before="80" w:after="40"/>
      </w:pPr>
      <w:r>
        <w:rPr>
          <w:rFonts w:ascii="Calibri" w:hAnsi="Calibri"/>
          <w:b/>
          <w:color w:val="012169"/>
          <w:sz w:val="22"/>
        </w:rPr>
        <w:t>What to say</w:t>
      </w:r>
    </w:p>
    <w:p>
      <w:pPr>
        <w:pStyle w:val="ListBullet"/>
        <w:spacing w:after="80"/>
      </w:pPr>
      <w:r>
        <w:rPr>
          <w:rFonts w:ascii="Calibri" w:hAnsi="Calibri"/>
          <w:color w:val="222222"/>
          <w:sz w:val="22"/>
        </w:rPr>
        <w:t>Spring closely mirrors Fall — same program order, similar gross magnitudes — except for Computer Science 4+1.</w:t>
      </w:r>
    </w:p>
    <w:p>
      <w:pPr>
        <w:pStyle w:val="ListBullet"/>
        <w:spacing w:after="80"/>
      </w:pPr>
      <w:r>
        <w:rPr>
          <w:rFonts w:ascii="Calibri" w:hAnsi="Calibri"/>
          <w:color w:val="222222"/>
          <w:sz w:val="22"/>
        </w:rPr>
        <w:t>CS 4+1: Spring gross drops to ~$19k while net falls to ~$9k — a ~52% Spring discount, the largest proportional Spring give in the portfolio.</w:t>
      </w:r>
    </w:p>
    <w:p>
      <w:pPr>
        <w:pStyle w:val="ListBullet"/>
        <w:spacing w:after="80"/>
      </w:pPr>
      <w:r>
        <w:rPr>
          <w:rFonts w:ascii="Calibri" w:hAnsi="Calibri"/>
          <w:color w:val="222222"/>
          <w:sz w:val="22"/>
        </w:rPr>
        <w:t>Computer Science also shows a measurable Spring softening of gross billing relative to Fall.</w:t>
      </w:r>
    </w:p>
    <w:p>
      <w:pPr>
        <w:pStyle w:val="ListBullet"/>
        <w:spacing w:after="80"/>
      </w:pPr>
      <w:r>
        <w:rPr>
          <w:rFonts w:ascii="Calibri" w:hAnsi="Calibri"/>
          <w:color w:val="222222"/>
          <w:sz w:val="22"/>
        </w:rPr>
        <w:t>Bioethics 4+1 collects close to its $22k Spring sticker — the smallest Spring discount among full-load programs.</w:t>
      </w:r>
    </w:p>
    <w:p>
      <w:pPr>
        <w:pStyle w:val="ListBullet"/>
        <w:spacing w:after="80"/>
      </w:pPr>
      <w:r>
        <w:rPr>
          <w:rFonts w:ascii="Calibri" w:hAnsi="Calibri"/>
          <w:color w:val="222222"/>
          <w:sz w:val="22"/>
        </w:rPr>
        <w:t>Same df_pricing filter; same Fall-descending program order to keep the eye anchored.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4D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2A900"/>
                <w:sz w:val="22"/>
              </w:rPr>
              <w:t xml:space="preserve">TIP — </w:t>
            </w:r>
            <w:r>
              <w:rPr>
                <w:rFonts w:ascii="Calibri" w:hAnsi="Calibri"/>
                <w:color w:val="222222"/>
                <w:sz w:val="22"/>
              </w:rPr>
              <w:t>If you're pressed for time you can fold Spring into Fall — the Spring chart is essentially a copy of Fall with one CS-side detail. The slide is included for completeness and because Spring is when the largest proportional CS 4+1 discount shows up.</w:t>
            </w:r>
          </w:p>
        </w:tc>
      </w:tr>
    </w:tbl>
    <w:p/>
    <w:p>
      <w:pPr>
        <w:spacing w:before="240" w:after="80"/>
      </w:pPr>
      <w:r>
        <w:rPr>
          <w:rFonts w:ascii="Calibri" w:hAnsi="Calibri"/>
          <w:b/>
          <w:color w:val="012169"/>
          <w:sz w:val="30"/>
        </w:rPr>
        <w:t>Slide 6 — Summer: Per-Semester Gross vs Net by Program</w:t>
      </w:r>
    </w:p>
    <w:p>
      <w:pPr>
        <w:spacing w:before="80" w:after="40"/>
      </w:pPr>
      <w:r>
        <w:rPr>
          <w:rFonts w:ascii="Calibri" w:hAnsi="Calibri"/>
          <w:b/>
          <w:color w:val="012169"/>
          <w:sz w:val="22"/>
        </w:rPr>
        <w:t>What to say</w:t>
      </w:r>
    </w:p>
    <w:p>
      <w:pPr>
        <w:pStyle w:val="ListBullet"/>
        <w:spacing w:after="80"/>
      </w:pPr>
      <w:r>
        <w:rPr>
          <w:rFonts w:ascii="Calibri" w:hAnsi="Calibri"/>
          <w:color w:val="222222"/>
          <w:sz w:val="22"/>
        </w:rPr>
        <w:t>Summer is structurally different: only eight programs are present. MBID and Economics are Fall-Spring only and don't appear here.</w:t>
      </w:r>
    </w:p>
    <w:p>
      <w:pPr>
        <w:pStyle w:val="ListBullet"/>
        <w:spacing w:after="80"/>
      </w:pPr>
      <w:r>
        <w:rPr>
          <w:rFonts w:ascii="Calibri" w:hAnsi="Calibri"/>
          <w:color w:val="222222"/>
          <w:sz w:val="22"/>
        </w:rPr>
        <w:t>The headline: MDP. $22k gross, $2.3k net per Summer term — the heaviest discounting in the LGS portfolio.</w:t>
      </w:r>
    </w:p>
    <w:p>
      <w:pPr>
        <w:pStyle w:val="ListBullet"/>
        <w:spacing w:after="80"/>
      </w:pPr>
      <w:r>
        <w:rPr>
          <w:rFonts w:ascii="Calibri" w:hAnsi="Calibri"/>
          <w:color w:val="222222"/>
          <w:sz w:val="22"/>
        </w:rPr>
        <w:t>Cancer Biology 4+1 shows a similar pattern at lower gross ($17.5k → $1.7k).</w:t>
      </w:r>
    </w:p>
    <w:p>
      <w:pPr>
        <w:pStyle w:val="ListBullet"/>
        <w:spacing w:after="80"/>
      </w:pPr>
      <w:r>
        <w:rPr>
          <w:rFonts w:ascii="Calibri" w:hAnsi="Calibri"/>
          <w:color w:val="222222"/>
          <w:sz w:val="22"/>
        </w:rPr>
        <w:t>CS 4+1 is the only other program with a meaningful Summer discount; CS Summer billing drops to ~$3k for the small group that takes Summer terms.</w:t>
      </w:r>
    </w:p>
    <w:p>
      <w:pPr>
        <w:pStyle w:val="ListBullet"/>
        <w:spacing w:after="80"/>
      </w:pPr>
      <w:r>
        <w:rPr>
          <w:rFonts w:ascii="Calibri" w:hAnsi="Calibri"/>
          <w:color w:val="222222"/>
          <w:sz w:val="22"/>
        </w:rPr>
        <w:t>Data Science Summer gross ≈ net, consistent with the program's 0% LGS-aid finding portfolio-wide.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4D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2A900"/>
                <w:sz w:val="22"/>
              </w:rPr>
              <w:t xml:space="preserve">TIP — </w:t>
            </w:r>
            <w:r>
              <w:rPr>
                <w:rFonts w:ascii="Calibri" w:hAnsi="Calibri"/>
                <w:color w:val="222222"/>
                <w:sz w:val="22"/>
              </w:rPr>
              <w:t>MDP is your headline number here — pause on it. $22k → $2k per Summer is dramatic and worth letting land. If asked: yes, MDP students typically take three terms per year, so this isn't a stray summer billing — it's where roughly a third of MDP's discount dollars are spent.</w:t>
            </w:r>
          </w:p>
        </w:tc>
      </w:tr>
    </w:tbl>
    <w:p/>
    <w:p>
      <w:pPr>
        <w:spacing w:before="240" w:after="80"/>
      </w:pPr>
      <w:r>
        <w:rPr>
          <w:rFonts w:ascii="Calibri" w:hAnsi="Calibri"/>
          <w:b/>
          <w:color w:val="012169"/>
          <w:sz w:val="30"/>
        </w:rPr>
        <w:t>Slide 7 — International % vs Discount Rate</w:t>
      </w:r>
    </w:p>
    <w:p>
      <w:pPr>
        <w:pStyle w:val="ListBullet"/>
        <w:spacing w:after="80"/>
      </w:pPr>
      <w:r>
        <w:rPr>
          <w:rFonts w:ascii="Calibri" w:hAnsi="Calibri"/>
          <w:color w:val="222222"/>
          <w:sz w:val="22"/>
        </w:rPr>
        <w:t>Bubble size = enrollment; x = international %, y = discount rate.</w:t>
      </w:r>
    </w:p>
    <w:p>
      <w:pPr>
        <w:pStyle w:val="ListBullet"/>
        <w:spacing w:after="80"/>
      </w:pPr>
      <w:r>
        <w:rPr>
          <w:rFonts w:ascii="Calibri" w:hAnsi="Calibri"/>
          <w:color w:val="222222"/>
          <w:sz w:val="22"/>
        </w:rPr>
        <w:t>CS is the big navy bubble upper-right: 86% international, 49% discount, 154 students.</w:t>
      </w:r>
    </w:p>
    <w:p>
      <w:pPr>
        <w:pStyle w:val="ListBullet"/>
        <w:spacing w:after="80"/>
      </w:pPr>
      <w:r>
        <w:rPr>
          <w:rFonts w:ascii="Calibri" w:hAnsi="Calibri"/>
          <w:color w:val="222222"/>
          <w:sz w:val="22"/>
        </w:rPr>
        <w:t>No downward relationship between international share and aid — contradicts the intuition that international students subsidize domestic ones.</w:t>
      </w:r>
    </w:p>
    <w:p>
      <w:pPr>
        <w:pStyle w:val="ListBullet"/>
        <w:spacing w:after="80"/>
      </w:pPr>
      <w:r>
        <w:rPr>
          <w:rFonts w:ascii="Calibri" w:hAnsi="Calibri"/>
          <w:color w:val="222222"/>
          <w:sz w:val="22"/>
        </w:rPr>
        <w:t>Uses the full population (no pricing filter) — we don't want to undercount international students on a count-based chart.</w:t>
      </w:r>
    </w:p>
    <w:p/>
    <w:p>
      <w:pPr>
        <w:spacing w:before="240" w:after="80"/>
      </w:pPr>
      <w:r>
        <w:rPr>
          <w:rFonts w:ascii="Calibri" w:hAnsi="Calibri"/>
          <w:b/>
          <w:color w:val="012169"/>
          <w:sz w:val="30"/>
        </w:rPr>
        <w:t>Slide 8 — Enrollment Trends</w:t>
      </w:r>
    </w:p>
    <w:p>
      <w:pPr>
        <w:pStyle w:val="ListBullet"/>
        <w:spacing w:after="80"/>
      </w:pPr>
      <w:r>
        <w:rPr>
          <w:rFonts w:ascii="Calibri" w:hAnsi="Calibri"/>
          <w:color w:val="222222"/>
          <w:sz w:val="22"/>
        </w:rPr>
        <w:t>Full panel, AY 2019 through AY 2026, full population.</w:t>
      </w:r>
    </w:p>
    <w:p>
      <w:pPr>
        <w:pStyle w:val="ListBullet"/>
        <w:spacing w:after="80"/>
      </w:pPr>
      <w:r>
        <w:rPr>
          <w:rFonts w:ascii="Calibri" w:hAnsi="Calibri"/>
          <w:color w:val="222222"/>
          <w:sz w:val="22"/>
        </w:rPr>
        <w:t>Computer Science climbs from the mid-30s into the 60s — roughly doubled since 2022 — this is the main volume story.</w:t>
      </w:r>
    </w:p>
    <w:p>
      <w:pPr>
        <w:pStyle w:val="ListBullet"/>
        <w:spacing w:after="80"/>
      </w:pPr>
      <w:r>
        <w:rPr>
          <w:rFonts w:ascii="Calibri" w:hAnsi="Calibri"/>
          <w:color w:val="222222"/>
          <w:sz w:val="22"/>
        </w:rPr>
        <w:t>MDP steady around 30–40 per year.</w:t>
      </w:r>
    </w:p>
    <w:p>
      <w:pPr>
        <w:pStyle w:val="ListBullet"/>
        <w:spacing w:after="80"/>
      </w:pPr>
      <w:r>
        <w:rPr>
          <w:rFonts w:ascii="Calibri" w:hAnsi="Calibri"/>
          <w:color w:val="222222"/>
          <w:sz w:val="22"/>
        </w:rPr>
        <w:t>Smaller programs (Data Science, MBID, Economics) stay below ~10 per year throughout.</w:t>
      </w:r>
    </w:p>
    <w:p/>
    <w:p>
      <w:pPr>
        <w:spacing w:before="240" w:after="80"/>
      </w:pPr>
      <w:r>
        <w:rPr>
          <w:rFonts w:ascii="Calibri" w:hAnsi="Calibri"/>
          <w:b/>
          <w:color w:val="012169"/>
          <w:sz w:val="30"/>
        </w:rPr>
        <w:t>Slide 9 — Discount Rate Trend</w:t>
      </w:r>
    </w:p>
    <w:p>
      <w:pPr>
        <w:pStyle w:val="ListBullet"/>
        <w:spacing w:after="80"/>
      </w:pPr>
      <w:r>
        <w:rPr>
          <w:rFonts w:ascii="Calibri" w:hAnsi="Calibri"/>
          <w:color w:val="222222"/>
          <w:sz w:val="22"/>
        </w:rPr>
        <w:t>By-program, year-over-year. Shapes tell you stability; no program is systematically tightening or loosening aid.</w:t>
      </w:r>
    </w:p>
    <w:p>
      <w:pPr>
        <w:pStyle w:val="ListBullet"/>
        <w:spacing w:after="80"/>
      </w:pPr>
      <w:r>
        <w:rPr>
          <w:rFonts w:ascii="Calibri" w:hAnsi="Calibri"/>
          <w:color w:val="222222"/>
          <w:sz w:val="22"/>
        </w:rPr>
        <w:t>MDP hovers at 55–60%. CS holds around 49%. 0%-discount programs stay flat at zero.</w:t>
      </w:r>
    </w:p>
    <w:p>
      <w:pPr>
        <w:pStyle w:val="ListBullet"/>
        <w:spacing w:after="80"/>
      </w:pPr>
      <w:r>
        <w:rPr>
          <w:rFonts w:ascii="Calibri" w:hAnsi="Calibri"/>
          <w:color w:val="222222"/>
          <w:sz w:val="22"/>
        </w:rPr>
        <w:t>Year-to-year wobble sits within cohort-size noise; don't over-read single-year moves.</w:t>
      </w:r>
    </w:p>
    <w:p/>
    <w:p>
      <w:pPr>
        <w:spacing w:before="240" w:after="80"/>
      </w:pPr>
      <w:r>
        <w:rPr>
          <w:rFonts w:ascii="Calibri" w:hAnsi="Calibri"/>
          <w:b/>
          <w:color w:val="012169"/>
          <w:sz w:val="30"/>
        </w:rPr>
        <w:t>Slide 10 — Peer Benchmark</w:t>
      </w:r>
    </w:p>
    <w:p>
      <w:pPr>
        <w:pStyle w:val="ListBullet"/>
        <w:spacing w:after="80"/>
      </w:pPr>
      <w:r>
        <w:rPr>
          <w:rFonts w:ascii="Calibri" w:hAnsi="Calibri"/>
          <w:color w:val="222222"/>
          <w:sz w:val="22"/>
        </w:rPr>
        <w:t>Emory's three program-group averages on pricing-filtered data: Data/CS $47,353, Economics $46,719, General $50,654.</w:t>
      </w:r>
    </w:p>
    <w:p>
      <w:pPr>
        <w:pStyle w:val="ListBullet"/>
        <w:spacing w:after="80"/>
      </w:pPr>
      <w:r>
        <w:rPr>
          <w:rFonts w:ascii="Calibri" w:hAnsi="Calibri"/>
          <w:color w:val="222222"/>
          <w:sz w:val="22"/>
        </w:rPr>
        <w:t>Columbia leads Data/CS at $64,800 and Economics at $90,732.</w:t>
      </w:r>
    </w:p>
    <w:p>
      <w:pPr>
        <w:pStyle w:val="ListBullet"/>
        <w:spacing w:after="80"/>
      </w:pPr>
      <w:r>
        <w:rPr>
          <w:rFonts w:ascii="Calibri" w:hAnsi="Calibri"/>
          <w:color w:val="222222"/>
          <w:sz w:val="22"/>
        </w:rPr>
        <w:t>NYU sits in the $70,000–$75,750 range across buckets.</w:t>
      </w:r>
    </w:p>
    <w:p>
      <w:pPr>
        <w:pStyle w:val="ListBullet"/>
        <w:spacing w:after="80"/>
      </w:pPr>
      <w:r>
        <w:rPr>
          <w:rFonts w:ascii="Calibri" w:hAnsi="Calibri"/>
          <w:color w:val="222222"/>
          <w:sz w:val="22"/>
        </w:rPr>
        <w:t>Georgia Tech in-state is the floor: $31,210–$41,390.</w:t>
      </w:r>
    </w:p>
    <w:p>
      <w:pPr>
        <w:pStyle w:val="ListBullet"/>
        <w:spacing w:after="80"/>
      </w:pPr>
      <w:r>
        <w:rPr>
          <w:rFonts w:ascii="Calibri" w:hAnsi="Calibri"/>
          <w:color w:val="222222"/>
          <w:sz w:val="22"/>
        </w:rPr>
        <w:t>Positioning: Emory is priced like a mid-tier private — well above a public flagship, well below the urban elites. That's a deliberate pricing decision, not an accident.</w:t>
      </w:r>
    </w:p>
    <w:p>
      <w:pPr>
        <w:pStyle w:val="ListBullet"/>
        <w:spacing w:after="80"/>
      </w:pPr>
      <w:r>
        <w:rPr>
          <w:rFonts w:ascii="Calibri" w:hAnsi="Calibri"/>
          <w:color w:val="222222"/>
          <w:sz w:val="22"/>
        </w:rPr>
        <w:t>Peer numbers are published sticker rates; Emory numbers use the pricing filter so the comparison is like-for-like against a typical full-load student.</w:t>
      </w:r>
    </w:p>
    <w:p/>
    <w:p>
      <w:pPr>
        <w:spacing w:before="240" w:after="80"/>
      </w:pPr>
      <w:r>
        <w:rPr>
          <w:rFonts w:ascii="Calibri" w:hAnsi="Calibri"/>
          <w:b/>
          <w:color w:val="012169"/>
          <w:sz w:val="30"/>
        </w:rPr>
        <w:t>Slide 11 — Data &amp; Methodology</w:t>
      </w:r>
    </w:p>
    <w:p>
      <w:pPr>
        <w:pStyle w:val="ListBullet"/>
        <w:spacing w:after="80"/>
      </w:pPr>
      <w:r>
        <w:rPr>
          <w:rFonts w:ascii="Calibri" w:hAnsi="Calibri"/>
          <w:color w:val="222222"/>
          <w:sz w:val="22"/>
        </w:rPr>
        <w:t>Walk through the pipeline if asked: institutional Excel exports → decode term codes → filter to LGS programs → keep institutional-only scholarships → collapse to student-program level.</w:t>
      </w:r>
    </w:p>
    <w:p>
      <w:pPr>
        <w:pStyle w:val="ListBullet"/>
        <w:spacing w:after="80"/>
      </w:pPr>
      <w:r>
        <w:rPr>
          <w:rFonts w:ascii="Calibri" w:hAnsi="Calibri"/>
          <w:color w:val="222222"/>
          <w:sz w:val="22"/>
        </w:rPr>
        <w:t>The sub-$20k pricing filter: 11 rows under $20,000 in total billed tuition were excluded from pricing metrics only. These are partial-term billings with ~$0 kept scholarship that distort averages.</w:t>
      </w:r>
    </w:p>
    <w:p>
      <w:pPr>
        <w:pStyle w:val="ListBullet"/>
        <w:spacing w:after="80"/>
      </w:pPr>
      <w:r>
        <w:rPr>
          <w:rFonts w:ascii="Calibri" w:hAnsi="Calibri"/>
          <w:color w:val="222222"/>
          <w:sz w:val="22"/>
        </w:rPr>
        <w:t>Enrollment counts, international mix, and the per-year trend charts continue to run on the full 493 rows.</w:t>
      </w:r>
    </w:p>
    <w:p>
      <w:pPr>
        <w:pStyle w:val="ListBullet"/>
        <w:spacing w:after="80"/>
      </w:pPr>
      <w:r>
        <w:rPr>
          <w:rFonts w:ascii="Calibri" w:hAnsi="Calibri"/>
          <w:color w:val="222222"/>
          <w:sz w:val="22"/>
        </w:rPr>
        <w:t>Scholarship filter strips federal/external awards (Pell, GRFP, Yellow Ribbon, etc.) so the discount rate reflects institutional aid only.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