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012169"/>
          <w:sz w:val="56"/>
        </w:rPr>
        <w:t>LGS Master's Programs: Tuition Pricing &amp; Scholarship Analysis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jc w:val="center"/>
      </w:pPr>
      <w:r>
        <w:rPr>
          <w:rFonts w:ascii="Calibri" w:hAnsi="Calibri"/>
          <w:color w:val="F2A900"/>
          <w:sz w:val="32"/>
        </w:rPr>
        <w:t>Emory Laney Graduate School — Phase 2 (v2)</w:t>
      </w:r>
    </w:p>
    <w:p/>
    <w:p/>
    <w:p>
      <w:pPr>
        <w:jc w:val="center"/>
      </w:pPr>
      <w:r>
        <w:rPr>
          <w:rFonts w:ascii="Calibri" w:hAnsi="Calibri"/>
          <w:color w:val="444444"/>
          <w:sz w:val="28"/>
        </w:rPr>
        <w:t>April 23, 2026</w:t>
      </w:r>
    </w:p>
    <w:p>
      <w:r>
        <w:br w:type="page"/>
      </w:r>
    </w:p>
    <w:p>
      <w:pPr>
        <w:spacing w:before="240" w:after="80"/>
      </w:pPr>
      <w:r>
        <w:rPr>
          <w:rFonts w:ascii="Calibri" w:hAnsi="Calibri"/>
          <w:b/>
          <w:color w:val="012169"/>
          <w:sz w:val="44"/>
        </w:rPr>
        <w:t>Executive Summary</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This report summarizes pricing, scholarship discounting, and peer benchmarking for Emory's Laney Graduate School master's programs, using an 8-year panel of student-level tuition and LGS-scholarship records (AY 2019–2026).</w:t>
      </w:r>
    </w:p>
    <w:p>
      <w:pPr>
        <w:spacing w:after="120"/>
      </w:pPr>
      <w:r>
        <w:rPr>
          <w:rFonts w:ascii="Calibri" w:hAnsi="Calibri"/>
          <w:b/>
          <w:color w:val="F2A900"/>
          <w:sz w:val="22"/>
        </w:rPr>
        <w:t xml:space="preserve">1. </w:t>
      </w:r>
      <w:r>
        <w:rPr>
          <w:rFonts w:ascii="Calibri" w:hAnsi="Calibri"/>
          <w:b/>
          <w:color w:val="012169"/>
          <w:sz w:val="22"/>
        </w:rPr>
        <w:t xml:space="preserve">MDP is Emory's costliest and most-discounted master's — </w:t>
      </w:r>
      <w:r>
        <w:rPr>
          <w:rFonts w:ascii="Calibri" w:hAnsi="Calibri"/>
          <w:color w:val="222222"/>
          <w:sz w:val="22"/>
        </w:rPr>
        <w:t>$108k average gross, $49k net, 55% discount rate across 135 full-load students over the 8-year panel ($8.4M in LGS scholarships).</w:t>
      </w:r>
    </w:p>
    <w:p>
      <w:pPr>
        <w:spacing w:after="120"/>
      </w:pPr>
      <w:r>
        <w:rPr>
          <w:rFonts w:ascii="Calibri" w:hAnsi="Calibri"/>
          <w:b/>
          <w:color w:val="F2A900"/>
          <w:sz w:val="22"/>
        </w:rPr>
        <w:t xml:space="preserve">2. </w:t>
      </w:r>
      <w:r>
        <w:rPr>
          <w:rFonts w:ascii="Calibri" w:hAnsi="Calibri"/>
          <w:b/>
          <w:color w:val="012169"/>
          <w:sz w:val="22"/>
        </w:rPr>
        <w:t xml:space="preserve">Two programs operate at 0% discount — </w:t>
      </w:r>
      <w:r>
        <w:rPr>
          <w:rFonts w:ascii="Calibri" w:hAnsi="Calibri"/>
          <w:color w:val="222222"/>
          <w:sz w:val="22"/>
        </w:rPr>
        <w:t>Data Science (n=11) and MBID (n=8) show gross = net for every full-load student. Obvious candidates for a pricing review.</w:t>
      </w:r>
    </w:p>
    <w:p>
      <w:pPr>
        <w:spacing w:after="120"/>
      </w:pPr>
      <w:r>
        <w:rPr>
          <w:rFonts w:ascii="Calibri" w:hAnsi="Calibri"/>
          <w:b/>
          <w:color w:val="F2A900"/>
          <w:sz w:val="22"/>
        </w:rPr>
        <w:t xml:space="preserve">3. </w:t>
      </w:r>
      <w:r>
        <w:rPr>
          <w:rFonts w:ascii="Calibri" w:hAnsi="Calibri"/>
          <w:b/>
          <w:color w:val="012169"/>
          <w:sz w:val="22"/>
        </w:rPr>
        <w:t xml:space="preserve">Enrollment is bimodal — </w:t>
      </w:r>
      <w:r>
        <w:rPr>
          <w:rFonts w:ascii="Calibri" w:hAnsi="Calibri"/>
          <w:color w:val="222222"/>
          <w:sz w:val="22"/>
        </w:rPr>
        <w:t>Computer Science (154) and MDP (135) together account for 59% of the 493-student sample; eight other programs share the remaining 41%.</w:t>
      </w:r>
    </w:p>
    <w:p>
      <w:pPr>
        <w:spacing w:after="120"/>
      </w:pPr>
      <w:r>
        <w:rPr>
          <w:rFonts w:ascii="Calibri" w:hAnsi="Calibri"/>
          <w:b/>
          <w:color w:val="F2A900"/>
          <w:sz w:val="22"/>
        </w:rPr>
        <w:t xml:space="preserve">4. </w:t>
      </w:r>
      <w:r>
        <w:rPr>
          <w:rFonts w:ascii="Calibri" w:hAnsi="Calibri"/>
          <w:b/>
          <w:color w:val="012169"/>
          <w:sz w:val="22"/>
        </w:rPr>
        <w:t xml:space="preserve">Computer Science is 86% international — and still ~49% discounted — </w:t>
      </w:r>
      <w:r>
        <w:rPr>
          <w:rFonts w:ascii="Calibri" w:hAnsi="Calibri"/>
          <w:color w:val="222222"/>
          <w:sz w:val="22"/>
        </w:rPr>
        <w:t>Emory competes for these students on price as well as visa-friendliness; aid does not scale down as international share rises.</w:t>
      </w:r>
    </w:p>
    <w:p>
      <w:pPr>
        <w:spacing w:after="120"/>
      </w:pPr>
      <w:r>
        <w:rPr>
          <w:rFonts w:ascii="Calibri" w:hAnsi="Calibri"/>
          <w:b/>
          <w:color w:val="F2A900"/>
          <w:sz w:val="22"/>
        </w:rPr>
        <w:t xml:space="preserve">5. </w:t>
      </w:r>
      <w:r>
        <w:rPr>
          <w:rFonts w:ascii="Calibri" w:hAnsi="Calibri"/>
          <w:b/>
          <w:color w:val="012169"/>
          <w:sz w:val="22"/>
        </w:rPr>
        <w:t xml:space="preserve">Emory sits mid-pack against peers — </w:t>
      </w:r>
      <w:r>
        <w:rPr>
          <w:rFonts w:ascii="Calibri" w:hAnsi="Calibri"/>
          <w:color w:val="222222"/>
          <w:sz w:val="22"/>
        </w:rPr>
        <w:t>Annualized gross tuition ~$47–51k across Data/CS, Economics, and General buckets — below Columbia/NYU ($65–91k) and above Georgia Tech's in-state rates ($31–41k).</w:t>
      </w:r>
    </w:p>
    <w:p>
      <w:r>
        <w:br w:type="page"/>
      </w:r>
    </w:p>
    <w:p>
      <w:pPr>
        <w:spacing w:before="240" w:after="80"/>
      </w:pPr>
      <w:r>
        <w:rPr>
          <w:rFonts w:ascii="Calibri" w:hAnsi="Calibri"/>
          <w:b/>
          <w:color w:val="012169"/>
          <w:sz w:val="36"/>
        </w:rPr>
        <w:t>Discount Rates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Discount rates range from 0% to 55% across Emory's LGS master's programs. MDP, Computer Science, and Computer Science 4+1 all discount roughly half of sticker price, while Data Science and MBID give no institutional scholarship at all. The 8-year trend is broadly stable — year-over-year fluctuations sit within normal cohort noise and no program is systematically tightening aid.</w:t>
      </w:r>
    </w:p>
    <w:p>
      <w:pPr>
        <w:jc w:val="center"/>
      </w:pPr>
      <w:r>
        <w:drawing>
          <wp:inline xmlns:a="http://schemas.openxmlformats.org/drawingml/2006/main" xmlns:pic="http://schemas.openxmlformats.org/drawingml/2006/picture">
            <wp:extent cx="5943600" cy="3316886"/>
            <wp:docPr id="1" name="Picture 1"/>
            <wp:cNvGraphicFramePr>
              <a:graphicFrameLocks noChangeAspect="1"/>
            </wp:cNvGraphicFramePr>
            <a:graphic>
              <a:graphicData uri="http://schemas.openxmlformats.org/drawingml/2006/picture">
                <pic:pic>
                  <pic:nvPicPr>
                    <pic:cNvPr id="0" name="01_discount_rate_by_program.png"/>
                    <pic:cNvPicPr/>
                  </pic:nvPicPr>
                  <pic:blipFill>
                    <a:blip r:embed="rId9"/>
                    <a:stretch>
                      <a:fillRect/>
                    </a:stretch>
                  </pic:blipFill>
                  <pic:spPr>
                    <a:xfrm>
                      <a:off x="0" y="0"/>
                      <a:ext cx="5943600" cy="3316886"/>
                    </a:xfrm>
                    <a:prstGeom prst="rect"/>
                  </pic:spPr>
                </pic:pic>
              </a:graphicData>
            </a:graphic>
          </wp:inline>
        </w:drawing>
      </w:r>
    </w:p>
    <w:p>
      <w:pPr>
        <w:jc w:val="center"/>
      </w:pPr>
      <w:r>
        <w:drawing>
          <wp:inline xmlns:a="http://schemas.openxmlformats.org/drawingml/2006/main" xmlns:pic="http://schemas.openxmlformats.org/drawingml/2006/picture">
            <wp:extent cx="5943600" cy="2673965"/>
            <wp:docPr id="2" name="Picture 2"/>
            <wp:cNvGraphicFramePr>
              <a:graphicFrameLocks noChangeAspect="1"/>
            </wp:cNvGraphicFramePr>
            <a:graphic>
              <a:graphicData uri="http://schemas.openxmlformats.org/drawingml/2006/picture">
                <pic:pic>
                  <pic:nvPicPr>
                    <pic:cNvPr id="0" name="05_discount_rate_trend_by_program.png"/>
                    <pic:cNvPicPr/>
                  </pic:nvPicPr>
                  <pic:blipFill>
                    <a:blip r:embed="rId10"/>
                    <a:stretch>
                      <a:fillRect/>
                    </a:stretch>
                  </pic:blipFill>
                  <pic:spPr>
                    <a:xfrm>
                      <a:off x="0" y="0"/>
                      <a:ext cx="5943600" cy="2673965"/>
                    </a:xfrm>
                    <a:prstGeom prst="rect"/>
                  </pic:spPr>
                </pic:pic>
              </a:graphicData>
            </a:graphic>
          </wp:inline>
        </w:drawing>
      </w:r>
    </w:p>
    <w:p>
      <w:r>
        <w:br w:type="page"/>
      </w:r>
    </w:p>
    <w:p>
      <w:pPr>
        <w:spacing w:before="240" w:after="80"/>
      </w:pPr>
      <w:r>
        <w:rPr>
          <w:rFonts w:ascii="Calibri" w:hAnsi="Calibri"/>
          <w:b/>
          <w:color w:val="012169"/>
          <w:sz w:val="36"/>
        </w:rPr>
        <w:t>Gross vs Net Tuition</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Splitting the tuition story by semester clarifies how each program prices and aids individual terms. Fall and Spring sit in the same range — full-load programs bill roughly $20–24k gross per term — but Summer is sparser, more concentrated, and reveals the heaviest discounting strategy in the portfolio. All three charts use the df_pricing population (career-total tuition ≥ $20k) and share the same Fall-gross-descending program order so cross-semester comparison is direct.</w:t>
      </w:r>
    </w:p>
    <w:p>
      <w:pPr>
        <w:spacing w:before="240" w:after="80"/>
      </w:pPr>
      <w:r>
        <w:rPr>
          <w:rFonts w:ascii="Calibri" w:hAnsi="Calibri"/>
          <w:b/>
          <w:color w:val="012169"/>
          <w:sz w:val="28"/>
        </w:rPr>
        <w:t>2a — Fall</w:t>
      </w:r>
    </w:p>
    <w:p>
      <w:pPr>
        <w:spacing w:after="160"/>
      </w:pPr>
      <w:r>
        <w:rPr>
          <w:rFonts w:ascii="Calibri" w:hAnsi="Calibri"/>
          <w:color w:val="222222"/>
          <w:sz w:val="22"/>
        </w:rPr>
        <w:t>All ten programs enroll in Fall. Gross billings cluster around $20–24k, with MBID and Data Science at the top showing zero institutional aid (gross = net). Economics shows the largest per-semester Fall discount among high-gross programs — $24k gross → $16k net. Computer Science, CS 4+1, Math, and MDP each take roughly half off through LGS aid.</w:t>
      </w:r>
    </w:p>
    <w:p>
      <w:pPr>
        <w:jc w:val="center"/>
      </w:pPr>
      <w:r>
        <w:drawing>
          <wp:inline xmlns:a="http://schemas.openxmlformats.org/drawingml/2006/main" xmlns:pic="http://schemas.openxmlformats.org/drawingml/2006/picture">
            <wp:extent cx="5943600" cy="4061667"/>
            <wp:docPr id="3" name="Picture 3"/>
            <wp:cNvGraphicFramePr>
              <a:graphicFrameLocks noChangeAspect="1"/>
            </wp:cNvGraphicFramePr>
            <a:graphic>
              <a:graphicData uri="http://schemas.openxmlformats.org/drawingml/2006/picture">
                <pic:pic>
                  <pic:nvPicPr>
                    <pic:cNvPr id="0" name="gross_net_fall.png"/>
                    <pic:cNvPicPr/>
                  </pic:nvPicPr>
                  <pic:blipFill>
                    <a:blip r:embed="rId11"/>
                    <a:stretch>
                      <a:fillRect/>
                    </a:stretch>
                  </pic:blipFill>
                  <pic:spPr>
                    <a:xfrm>
                      <a:off x="0" y="0"/>
                      <a:ext cx="5943600" cy="4061667"/>
                    </a:xfrm>
                    <a:prstGeom prst="rect"/>
                  </pic:spPr>
                </pic:pic>
              </a:graphicData>
            </a:graphic>
          </wp:inline>
        </w:drawing>
      </w:r>
    </w:p>
    <w:p>
      <w:pPr>
        <w:spacing w:before="240" w:after="80"/>
      </w:pPr>
      <w:r>
        <w:rPr>
          <w:rFonts w:ascii="Calibri" w:hAnsi="Calibri"/>
          <w:b/>
          <w:color w:val="012169"/>
          <w:sz w:val="28"/>
        </w:rPr>
        <w:t>2b — Spring</w:t>
      </w:r>
    </w:p>
    <w:p>
      <w:pPr>
        <w:spacing w:after="160"/>
      </w:pPr>
      <w:r>
        <w:rPr>
          <w:rFonts w:ascii="Calibri" w:hAnsi="Calibri"/>
          <w:color w:val="222222"/>
          <w:sz w:val="22"/>
        </w:rPr>
        <w:t>Spring closely mirrors Fall in both program order and gross magnitudes. The notable exception is Computer Science 4+1, where Spring billings drop to ~$19k gross and net falls to ~$9k — a ~52% per-semester discount, the largest proportional Spring give in the portfolio. Computer Science shows a similar Spring drop. Bioethics 4+1 collects nearly all of its $22k Spring sticker.</w:t>
      </w:r>
    </w:p>
    <w:p>
      <w:pPr>
        <w:jc w:val="center"/>
      </w:pPr>
      <w:r>
        <w:drawing>
          <wp:inline xmlns:a="http://schemas.openxmlformats.org/drawingml/2006/main" xmlns:pic="http://schemas.openxmlformats.org/drawingml/2006/picture">
            <wp:extent cx="5943600" cy="4061667"/>
            <wp:docPr id="4" name="Picture 4"/>
            <wp:cNvGraphicFramePr>
              <a:graphicFrameLocks noChangeAspect="1"/>
            </wp:cNvGraphicFramePr>
            <a:graphic>
              <a:graphicData uri="http://schemas.openxmlformats.org/drawingml/2006/picture">
                <pic:pic>
                  <pic:nvPicPr>
                    <pic:cNvPr id="0" name="gross_net_spring.png"/>
                    <pic:cNvPicPr/>
                  </pic:nvPicPr>
                  <pic:blipFill>
                    <a:blip r:embed="rId12"/>
                    <a:stretch>
                      <a:fillRect/>
                    </a:stretch>
                  </pic:blipFill>
                  <pic:spPr>
                    <a:xfrm>
                      <a:off x="0" y="0"/>
                      <a:ext cx="5943600" cy="4061667"/>
                    </a:xfrm>
                    <a:prstGeom prst="rect"/>
                  </pic:spPr>
                </pic:pic>
              </a:graphicData>
            </a:graphic>
          </wp:inline>
        </w:drawing>
      </w:r>
    </w:p>
    <w:p>
      <w:pPr>
        <w:spacing w:before="240" w:after="80"/>
      </w:pPr>
      <w:r>
        <w:rPr>
          <w:rFonts w:ascii="Calibri" w:hAnsi="Calibri"/>
          <w:b/>
          <w:color w:val="012169"/>
          <w:sz w:val="28"/>
        </w:rPr>
        <w:t>2c — Summer</w:t>
      </w:r>
    </w:p>
    <w:p>
      <w:pPr>
        <w:spacing w:after="160"/>
      </w:pPr>
      <w:r>
        <w:rPr>
          <w:rFonts w:ascii="Calibri" w:hAnsi="Calibri"/>
          <w:color w:val="222222"/>
          <w:sz w:val="22"/>
        </w:rPr>
        <w:t>Summer is structurally different — only eight of ten programs enroll students; MBID and Economics are Fall-Spring only. The story is MDP: $22k gross → $2.3k net per student, by far the heaviest discounting in the LGS portfolio and where the program concentrates its scholarship spend. Cancer Biology 4+1 shows a similar pattern at lower gross. Data Science Summer gross equals net, consistent with its 0% institutional-aid finding portfolio-wide.</w:t>
      </w:r>
    </w:p>
    <w:p>
      <w:pPr>
        <w:jc w:val="center"/>
      </w:pPr>
      <w:r>
        <w:drawing>
          <wp:inline xmlns:a="http://schemas.openxmlformats.org/drawingml/2006/main" xmlns:pic="http://schemas.openxmlformats.org/drawingml/2006/picture">
            <wp:extent cx="5943600" cy="4061667"/>
            <wp:docPr id="5" name="Picture 5"/>
            <wp:cNvGraphicFramePr>
              <a:graphicFrameLocks noChangeAspect="1"/>
            </wp:cNvGraphicFramePr>
            <a:graphic>
              <a:graphicData uri="http://schemas.openxmlformats.org/drawingml/2006/picture">
                <pic:pic>
                  <pic:nvPicPr>
                    <pic:cNvPr id="0" name="gross_net_summer.png"/>
                    <pic:cNvPicPr/>
                  </pic:nvPicPr>
                  <pic:blipFill>
                    <a:blip r:embed="rId13"/>
                    <a:stretch>
                      <a:fillRect/>
                    </a:stretch>
                  </pic:blipFill>
                  <pic:spPr>
                    <a:xfrm>
                      <a:off x="0" y="0"/>
                      <a:ext cx="5943600" cy="4061667"/>
                    </a:xfrm>
                    <a:prstGeom prst="rect"/>
                  </pic:spPr>
                </pic:pic>
              </a:graphicData>
            </a:graphic>
          </wp:inline>
        </w:drawing>
      </w:r>
    </w:p>
    <w:p>
      <w:r>
        <w:br w:type="page"/>
      </w:r>
    </w:p>
    <w:p>
      <w:pPr>
        <w:spacing w:before="240" w:after="80"/>
      </w:pPr>
      <w:r>
        <w:rPr>
          <w:rFonts w:ascii="Calibri" w:hAnsi="Calibri"/>
          <w:b/>
          <w:color w:val="012169"/>
          <w:sz w:val="36"/>
        </w:rPr>
        <w:t>International Mix</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Bubble size shows program enrollment; position shows international share vs discount rate. Computer Science is the clear outlier — 86% international yet still 49% discounted. Across the portfolio there is no inverse relationship between international share and aid: high-international programs are not systematically less aided, which contradicts the common assumption that international students primarily subsidize domestic ones.</w:t>
      </w:r>
    </w:p>
    <w:p>
      <w:pPr>
        <w:jc w:val="center"/>
      </w:pPr>
      <w:r>
        <w:drawing>
          <wp:inline xmlns:a="http://schemas.openxmlformats.org/drawingml/2006/main" xmlns:pic="http://schemas.openxmlformats.org/drawingml/2006/picture">
            <wp:extent cx="5943600" cy="3857915"/>
            <wp:docPr id="6" name="Picture 6"/>
            <wp:cNvGraphicFramePr>
              <a:graphicFrameLocks noChangeAspect="1"/>
            </wp:cNvGraphicFramePr>
            <a:graphic>
              <a:graphicData uri="http://schemas.openxmlformats.org/drawingml/2006/picture">
                <pic:pic>
                  <pic:nvPicPr>
                    <pic:cNvPr id="0" name="03_intl_pct_vs_discount_rate.png"/>
                    <pic:cNvPicPr/>
                  </pic:nvPicPr>
                  <pic:blipFill>
                    <a:blip r:embed="rId14"/>
                    <a:stretch>
                      <a:fillRect/>
                    </a:stretch>
                  </pic:blipFill>
                  <pic:spPr>
                    <a:xfrm>
                      <a:off x="0" y="0"/>
                      <a:ext cx="5943600" cy="3857915"/>
                    </a:xfrm>
                    <a:prstGeom prst="rect"/>
                  </pic:spPr>
                </pic:pic>
              </a:graphicData>
            </a:graphic>
          </wp:inline>
        </w:drawing>
      </w:r>
    </w:p>
    <w:p>
      <w:r>
        <w:br w:type="page"/>
      </w:r>
    </w:p>
    <w:p>
      <w:pPr>
        <w:spacing w:before="240" w:after="80"/>
      </w:pPr>
      <w:r>
        <w:rPr>
          <w:rFonts w:ascii="Calibri" w:hAnsi="Calibri"/>
          <w:b/>
          <w:color w:val="012169"/>
          <w:sz w:val="36"/>
        </w:rPr>
        <w:t>Enrollment Trends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The 8-year panel (AY 2019–2026) shows Computer Science climbing from the mid-30s to 60+ students per year, accounting for most of the overall growth in LGS master's enrollment. MDP remains Emory's other large program, steady in the 30–40 range per year. Smaller programs (Data Science, MBID, Economics) sit below 10 students per year throughout the window.</w:t>
      </w:r>
    </w:p>
    <w:p>
      <w:pPr>
        <w:jc w:val="center"/>
      </w:pPr>
      <w:r>
        <w:drawing>
          <wp:inline xmlns:a="http://schemas.openxmlformats.org/drawingml/2006/main" xmlns:pic="http://schemas.openxmlformats.org/drawingml/2006/picture">
            <wp:extent cx="5943600" cy="2673965"/>
            <wp:docPr id="7" name="Picture 7"/>
            <wp:cNvGraphicFramePr>
              <a:graphicFrameLocks noChangeAspect="1"/>
            </wp:cNvGraphicFramePr>
            <a:graphic>
              <a:graphicData uri="http://schemas.openxmlformats.org/drawingml/2006/picture">
                <pic:pic>
                  <pic:nvPicPr>
                    <pic:cNvPr id="0" name="04_enrollment_trend_by_program.png"/>
                    <pic:cNvPicPr/>
                  </pic:nvPicPr>
                  <pic:blipFill>
                    <a:blip r:embed="rId15"/>
                    <a:stretch>
                      <a:fillRect/>
                    </a:stretch>
                  </pic:blipFill>
                  <pic:spPr>
                    <a:xfrm>
                      <a:off x="0" y="0"/>
                      <a:ext cx="5943600" cy="2673965"/>
                    </a:xfrm>
                    <a:prstGeom prst="rect"/>
                  </pic:spPr>
                </pic:pic>
              </a:graphicData>
            </a:graphic>
          </wp:inline>
        </w:drawing>
      </w:r>
    </w:p>
    <w:p>
      <w:r>
        <w:br w:type="page"/>
      </w:r>
    </w:p>
    <w:p>
      <w:pPr>
        <w:spacing w:before="240" w:after="80"/>
      </w:pPr>
      <w:r>
        <w:rPr>
          <w:rFonts w:ascii="Calibri" w:hAnsi="Calibri"/>
          <w:b/>
          <w:color w:val="012169"/>
          <w:sz w:val="36"/>
        </w:rPr>
        <w:t>Peer Benchmarking</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Using the corrected program-specific annualization applied to full-load students, Emory's gross tuition sits firmly mid-pack: $47,353 Data/CS, $46,719 Economics, $50,654 General. Columbia leads the peer set at $65–91k depending on discipline, with NYU close behind at ~$70–76k. Georgia Tech's in-state rates ($31–41k) undercut Emory in every bucket. The market splits into a high-tier (Columbia/NYU), a mid-tier (Emory), and a value tier (Georgia Tech).</w:t>
      </w:r>
    </w:p>
    <w:p>
      <w:pPr>
        <w:jc w:val="center"/>
      </w:pPr>
      <w:r>
        <w:drawing>
          <wp:inline xmlns:a="http://schemas.openxmlformats.org/drawingml/2006/main" xmlns:pic="http://schemas.openxmlformats.org/drawingml/2006/picture">
            <wp:extent cx="5943600" cy="3375071"/>
            <wp:docPr id="8" name="Picture 8"/>
            <wp:cNvGraphicFramePr>
              <a:graphicFrameLocks noChangeAspect="1"/>
            </wp:cNvGraphicFramePr>
            <a:graphic>
              <a:graphicData uri="http://schemas.openxmlformats.org/drawingml/2006/picture">
                <pic:pic>
                  <pic:nvPicPr>
                    <pic:cNvPr id="0" name="06_peer_benchmark_emory_vs_peers.png"/>
                    <pic:cNvPicPr/>
                  </pic:nvPicPr>
                  <pic:blipFill>
                    <a:blip r:embed="rId16"/>
                    <a:stretch>
                      <a:fillRect/>
                    </a:stretch>
                  </pic:blipFill>
                  <pic:spPr>
                    <a:xfrm>
                      <a:off x="0" y="0"/>
                      <a:ext cx="5943600" cy="3375071"/>
                    </a:xfrm>
                    <a:prstGeom prst="rect"/>
                  </pic:spPr>
                </pic:pic>
              </a:graphicData>
            </a:graphic>
          </wp:inline>
        </w:drawing>
      </w:r>
    </w:p>
    <w:p>
      <w:r>
        <w:br w:type="page"/>
      </w:r>
    </w:p>
    <w:p>
      <w:pPr>
        <w:spacing w:before="240" w:after="80"/>
      </w:pPr>
      <w:r>
        <w:rPr>
          <w:rFonts w:ascii="Calibri" w:hAnsi="Calibri"/>
          <w:b/>
          <w:color w:val="012169"/>
          <w:sz w:val="36"/>
        </w:rPr>
        <w:t>Recommendations</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Four pricing-strategy questions emerge from the analysis. Each is scoped to be actionable by LGS leadership in a single review cycle: a data audit, an aid-strategy review, a sticker-price test, and a policy codification.</w:t>
      </w:r>
    </w:p>
    <w:p>
      <w:pPr>
        <w:spacing w:before="240" w:after="80"/>
      </w:pPr>
      <w:r>
        <w:rPr>
          <w:rFonts w:ascii="Calibri" w:hAnsi="Calibri"/>
          <w:b/>
          <w:color w:val="012169"/>
          <w:sz w:val="28"/>
        </w:rPr>
        <w:t>6.1 — Audit Data Science &amp; MBID scholarship eligibility</w:t>
      </w:r>
    </w:p>
    <w:p>
      <w:pPr>
        <w:spacing w:after="160"/>
      </w:pPr>
      <w:r>
        <w:rPr>
          <w:rFonts w:ascii="Calibri" w:hAnsi="Calibri"/>
          <w:color w:val="222222"/>
          <w:sz w:val="22"/>
        </w:rPr>
        <w:t>Both programs show 0% kept LGS scholarship across the 8-year panel (Data Science n=11, MBID n=8). Either the awards are not being made or they are landing under descriptions excluded by the LGS-only filter. A manual reconciliation against the raw FA ledger confirms which it is. If the absence of aid is genuine, decide whether it reflects an intentional full-pay positioning or an oversight that is costing yield against more aggressively discounted peer programs.</w:t>
      </w:r>
    </w:p>
    <w:p>
      <w:pPr>
        <w:spacing w:before="240" w:after="80"/>
      </w:pPr>
      <w:r>
        <w:rPr>
          <w:rFonts w:ascii="Calibri" w:hAnsi="Calibri"/>
          <w:b/>
          <w:color w:val="012169"/>
          <w:sz w:val="28"/>
        </w:rPr>
        <w:t>6.2 — Review CS aid strategy relative to international demand</w:t>
      </w:r>
    </w:p>
    <w:p>
      <w:pPr>
        <w:spacing w:after="160"/>
      </w:pPr>
      <w:r>
        <w:rPr>
          <w:rFonts w:ascii="Calibri" w:hAnsi="Calibri"/>
          <w:color w:val="222222"/>
          <w:sz w:val="22"/>
        </w:rPr>
        <w:t>Computer Science is 86% international and still discounts ~49% per student — the highest international share and one of the deepest discounts in the LGS portfolio. There is no inverse relationship between international share and aid in the data, which contradicts the common assumption that international students subsidize domestic ones. The strategic question is whether the 49% discount is necessary to land these students given that Columbia and NYU charge $20–40k more in absolute terms; a yield-elasticity test on the next admit cycle would quantify the lift per aid dollar.</w:t>
      </w:r>
    </w:p>
    <w:p>
      <w:pPr>
        <w:spacing w:before="240" w:after="80"/>
      </w:pPr>
      <w:r>
        <w:rPr>
          <w:rFonts w:ascii="Calibri" w:hAnsi="Calibri"/>
          <w:b/>
          <w:color w:val="012169"/>
          <w:sz w:val="28"/>
        </w:rPr>
        <w:t>6.3 — Capitalize on the peer pricing gap</w:t>
      </w:r>
    </w:p>
    <w:p>
      <w:pPr>
        <w:spacing w:after="160"/>
      </w:pPr>
      <w:r>
        <w:rPr>
          <w:rFonts w:ascii="Calibri" w:hAnsi="Calibri"/>
          <w:color w:val="222222"/>
          <w:sz w:val="22"/>
        </w:rPr>
        <w:t>Annualized gross tuition sits comfortably below Columbia and NYU ($65–91k) and clearly above Georgia Tech's in-state floor ($31–41k). With CS enrollment roughly doubling since 2022, demand for Emory's mid-tier positioning is responding. A selective sticker-price increase of $5–8k in the most-demanded programs (CS, MDP) would still leave Emory comfortably below the urban-elite tier and would generate meaningful incremental revenue without changing market position.</w:t>
      </w:r>
    </w:p>
    <w:p>
      <w:pPr>
        <w:spacing w:before="240" w:after="80"/>
      </w:pPr>
      <w:r>
        <w:rPr>
          <w:rFonts w:ascii="Calibri" w:hAnsi="Calibri"/>
          <w:b/>
          <w:color w:val="012169"/>
          <w:sz w:val="28"/>
        </w:rPr>
        <w:t>6.4 — Stabilize MDP discount rate with a formal aid policy</w:t>
      </w:r>
    </w:p>
    <w:p>
      <w:pPr>
        <w:spacing w:after="160"/>
      </w:pPr>
      <w:r>
        <w:rPr>
          <w:rFonts w:ascii="Calibri" w:hAnsi="Calibri"/>
          <w:color w:val="222222"/>
          <w:sz w:val="22"/>
        </w:rPr>
        <w:t>MDP discounts at 55% career-wide — the highest in the portfolio — and the per-semester view shows the give is concentrated in Summer ($22k gross → $2.3k net). Year-to-year the program rate hovers in a 55–60% band, which suggests the practice is implicit rather than codified. Document the decision rule (eligibility, award size, term distribution) so future cohorts are predictable and so the rate can be tuned deliberately rather than by drift.</w:t>
      </w:r>
    </w:p>
    <w:p>
      <w:r>
        <w:br w:type="page"/>
      </w:r>
    </w:p>
    <w:p>
      <w:pPr>
        <w:spacing w:before="240" w:after="80"/>
      </w:pPr>
      <w:r>
        <w:rPr>
          <w:rFonts w:ascii="Calibri" w:hAnsi="Calibri"/>
          <w:b/>
          <w:color w:val="012169"/>
          <w:sz w:val="36"/>
        </w:rPr>
        <w:t>Data &amp; Methodology</w:t>
      </w:r>
    </w:p>
    <w:tbl>
      <w:tblPr>
        <w:tblW w:type="auto" w:w="0"/>
        <w:tblLook w:firstColumn="1" w:firstRow="1" w:lastColumn="0" w:lastRow="0" w:noHBand="0" w:noVBand="1" w:val="04A0"/>
      </w:tblPr>
      <w:tblGrid>
        <w:gridCol w:w="8640"/>
      </w:tblGrid>
      <w:tr>
        <w:tc>
          <w:tcPr>
            <w:tcW w:type="dxa" w:w="8640"/>
            <w:tcBorders>
              <w:top w:val="nil"/>
              <w:left w:val="nil"/>
              <w:right w:val="nil"/>
              <w:bottom w:val="single" w:sz="18" w:color="F2A900"/>
            </w:tcBorders>
          </w:tcPr>
          <w:p>
            <w:pPr>
              <w:spacing w:before="0" w:after="0"/>
            </w:pPr>
            <w:r/>
          </w:p>
        </w:tc>
      </w:tr>
    </w:tbl>
    <w:p>
      <w:pPr>
        <w:spacing w:after="160"/>
      </w:pPr>
      <w:r>
        <w:rPr>
          <w:rFonts w:ascii="Calibri" w:hAnsi="Calibri"/>
          <w:color w:val="222222"/>
          <w:sz w:val="22"/>
        </w:rPr>
        <w:t>The analysis pipeline is implemented in analysis.ipynb and produces three Excel outputs (program_summary_output.xlsx, student_program_level_output.xlsx, and student_program_year_output.xlsx).</w:t>
      </w:r>
    </w:p>
    <w:p>
      <w:pPr>
        <w:pStyle w:val="ListBullet"/>
        <w:spacing w:after="80"/>
      </w:pPr>
      <w:r>
        <w:rPr>
          <w:rFonts w:ascii="Calibri" w:hAnsi="Calibri"/>
          <w:color w:val="222222"/>
          <w:sz w:val="22"/>
        </w:rPr>
        <w:t>Source data: institutional Excel exports of gross tuition billed and LGS scholarship awards; 8-year panel spanning AY 2019 through AY 2026.</w:t>
      </w:r>
    </w:p>
    <w:p>
      <w:pPr>
        <w:pStyle w:val="ListBullet"/>
        <w:spacing w:after="80"/>
      </w:pPr>
      <w:r>
        <w:rPr>
          <w:rFonts w:ascii="Calibri" w:hAnsi="Calibri"/>
          <w:color w:val="222222"/>
          <w:sz w:val="22"/>
        </w:rPr>
        <w:t>Net tuition is clipped at zero. In rare cases a kept scholarship exceeds billed tuition for a partial-term student; we report that student as paying $0 rather than a negative amount.</w:t>
      </w:r>
    </w:p>
    <w:p>
      <w:pPr>
        <w:pStyle w:val="ListBullet"/>
        <w:spacing w:after="80"/>
      </w:pPr>
      <w:r>
        <w:rPr>
          <w:rFonts w:ascii="Calibri" w:hAnsi="Calibri"/>
          <w:color w:val="222222"/>
          <w:sz w:val="22"/>
        </w:rPr>
        <w:t>Scholarship filter retains descriptions containing 'lgs' and drops external/federal awards (Pell, GRFP, Yellow Ribbon, Americorps, etc.) plus generic LGS 'special' awards, so discount rates reflect institutional aid only.</w:t>
      </w:r>
    </w:p>
    <w:p>
      <w:pPr>
        <w:pStyle w:val="ListBullet"/>
        <w:spacing w:after="80"/>
      </w:pPr>
      <w:r>
        <w:rPr>
          <w:rFonts w:ascii="Calibri" w:hAnsi="Calibri"/>
          <w:color w:val="222222"/>
          <w:sz w:val="22"/>
        </w:rPr>
        <w:t>Small-n programs are merged: ECONMS + ECON4P1MS → Economics; DATASCIMS + QTMMS → Data Science; DEVPRACMDP + HUMANRTCRT → MDP.</w:t>
      </w:r>
    </w:p>
    <w:p>
      <w:pPr>
        <w:pStyle w:val="ListBullet"/>
        <w:spacing w:after="80"/>
      </w:pPr>
      <w:r>
        <w:rPr>
          <w:rFonts w:ascii="Calibri" w:hAnsi="Calibri"/>
          <w:color w:val="222222"/>
          <w:sz w:val="22"/>
        </w:rPr>
        <w:t>Annualization for peer comparison uses program-specific terms-per-year (from the Information Sheet plus empirical seasonal distribution) rather than a blanket 2-term assumption. This corrects a ~33% understatement for 3-term programs such as MDP and Data Science.</w:t>
      </w:r>
    </w:p>
    <w:p>
      <w:pPr>
        <w:pStyle w:val="ListBullet"/>
        <w:spacing w:after="80"/>
      </w:pPr>
      <w:r>
        <w:rPr>
          <w:rFonts w:ascii="Calibri" w:hAnsi="Calibri"/>
          <w:color w:val="222222"/>
          <w:sz w:val="22"/>
        </w:rPr>
        <w:t>Programs with zero kept scholarship (Data Science, MBID) are retained in the summary with a 0% discount rate — this is intentional and flags potential pricing discrepancies.</w:t>
      </w:r>
    </w:p>
    <w:p>
      <w:pPr>
        <w:pStyle w:val="ListBullet"/>
        <w:spacing w:after="80"/>
      </w:pPr>
      <w:r>
        <w:rPr>
          <w:rFonts w:ascii="Calibri" w:hAnsi="Calibri"/>
          <w:color w:val="222222"/>
          <w:sz w:val="22"/>
        </w:rPr>
        <w:t>v2 pricing filter (df_pricing): avg gross/net tuition, discount rate, and peer benchmark exclude 11 of 493 student-program rows with total billed tuition under $20,000. These reflect single-course or partial-term billings with ~$0 scholarship that were depressing averages and compressing the gross-vs-net gap. Enrollment counts, international mix, and per-year trend charts continue to use the full population.</w:t>
      </w:r>
    </w:p>
    <w:p>
      <w:pPr>
        <w:spacing w:before="240" w:after="80"/>
      </w:pPr>
      <w:r>
        <w:rPr>
          <w:rFonts w:ascii="Calibri" w:hAnsi="Calibri"/>
          <w:b/>
          <w:color w:val="012169"/>
          <w:sz w:val="28"/>
        </w:rPr>
        <w:t>Terms-Per-Year Lookup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12169"/>
              </w:rPr>
              <w:t>acad_plan</w:t>
            </w:r>
          </w:p>
        </w:tc>
        <w:tc>
          <w:tcPr>
            <w:tcW w:type="dxa" w:w="2880"/>
          </w:tcPr>
          <w:p>
            <w:r/>
            <w:r>
              <w:rPr>
                <w:b/>
                <w:color w:val="012169"/>
              </w:rPr>
              <w:t>terms/yr</w:t>
            </w:r>
          </w:p>
        </w:tc>
        <w:tc>
          <w:tcPr>
            <w:tcW w:type="dxa" w:w="2880"/>
          </w:tcPr>
          <w:p>
            <w:r/>
            <w:r>
              <w:rPr>
                <w:b/>
                <w:color w:val="012169"/>
              </w:rPr>
              <w:t>source</w:t>
            </w:r>
          </w:p>
        </w:tc>
      </w:tr>
      <w:tr>
        <w:tc>
          <w:tcPr>
            <w:tcW w:type="dxa" w:w="2880"/>
          </w:tcPr>
          <w:p>
            <w:r>
              <w:t>COMPSCIMS, CS4P1MS, MATHMS, ECON4P1MS</w:t>
            </w:r>
          </w:p>
        </w:tc>
        <w:tc>
          <w:tcPr>
            <w:tcW w:type="dxa" w:w="2880"/>
          </w:tcPr>
          <w:p>
            <w:r>
              <w:t>2</w:t>
            </w:r>
          </w:p>
        </w:tc>
        <w:tc>
          <w:tcPr>
            <w:tcW w:type="dxa" w:w="2880"/>
          </w:tcPr>
          <w:p>
            <w:r>
              <w:t>Information Sheet (Fall-Spring)</w:t>
            </w:r>
          </w:p>
        </w:tc>
      </w:tr>
      <w:tr>
        <w:tc>
          <w:tcPr>
            <w:tcW w:type="dxa" w:w="2880"/>
          </w:tcPr>
          <w:p>
            <w:r>
              <w:t>BIOETHMA, BIOETH4P1, BMIDMS</w:t>
            </w:r>
          </w:p>
        </w:tc>
        <w:tc>
          <w:tcPr>
            <w:tcW w:type="dxa" w:w="2880"/>
          </w:tcPr>
          <w:p>
            <w:r>
              <w:t>2</w:t>
            </w:r>
          </w:p>
        </w:tc>
        <w:tc>
          <w:tcPr>
            <w:tcW w:type="dxa" w:w="2880"/>
          </w:tcPr>
          <w:p>
            <w:r>
              <w:t>empirical (Fall-Spring dominant)</w:t>
            </w:r>
          </w:p>
        </w:tc>
      </w:tr>
      <w:tr>
        <w:tc>
          <w:tcPr>
            <w:tcW w:type="dxa" w:w="2880"/>
          </w:tcPr>
          <w:p>
            <w:r>
              <w:t>ECONMS</w:t>
            </w:r>
          </w:p>
        </w:tc>
        <w:tc>
          <w:tcPr>
            <w:tcW w:type="dxa" w:w="2880"/>
          </w:tcPr>
          <w:p>
            <w:r>
              <w:t>3</w:t>
            </w:r>
          </w:p>
        </w:tc>
        <w:tc>
          <w:tcPr>
            <w:tcW w:type="dxa" w:w="2880"/>
          </w:tcPr>
          <w:p>
            <w:r>
              <w:t>Information Sheet (Summer-Fall-Spring)</w:t>
            </w:r>
          </w:p>
        </w:tc>
      </w:tr>
      <w:tr>
        <w:tc>
          <w:tcPr>
            <w:tcW w:type="dxa" w:w="2880"/>
          </w:tcPr>
          <w:p>
            <w:r>
              <w:t>DATASCIMS</w:t>
            </w:r>
          </w:p>
        </w:tc>
        <w:tc>
          <w:tcPr>
            <w:tcW w:type="dxa" w:w="2880"/>
          </w:tcPr>
          <w:p>
            <w:r>
              <w:t>3</w:t>
            </w:r>
          </w:p>
        </w:tc>
        <w:tc>
          <w:tcPr>
            <w:tcW w:type="dxa" w:w="2880"/>
          </w:tcPr>
          <w:p>
            <w:r>
              <w:t>Information Sheet (Fall-Spring-Summer)</w:t>
            </w:r>
          </w:p>
        </w:tc>
      </w:tr>
      <w:tr>
        <w:tc>
          <w:tcPr>
            <w:tcW w:type="dxa" w:w="2880"/>
          </w:tcPr>
          <w:p>
            <w:r>
              <w:t>QTMMS, DEVPRACMDP, HUMANRTCRT, BBS4P1MS</w:t>
            </w:r>
          </w:p>
        </w:tc>
        <w:tc>
          <w:tcPr>
            <w:tcW w:type="dxa" w:w="2880"/>
          </w:tcPr>
          <w:p>
            <w:r>
              <w:t>3</w:t>
            </w:r>
          </w:p>
        </w:tc>
        <w:tc>
          <w:tcPr>
            <w:tcW w:type="dxa" w:w="2880"/>
          </w:tcPr>
          <w:p>
            <w:r>
              <w:t>empirical (all three seasons ~equal)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