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s1fefnjmsnya" w:id="0"/>
      <w:bookmarkEnd w:id="0"/>
      <w:r w:rsidDel="00000000" w:rsidR="00000000" w:rsidRPr="00000000">
        <w:rPr>
          <w:rtl w:val="0"/>
        </w:rPr>
        <w:t xml:space="preserve">Electrophysiology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f5e0mpmk7kj" w:id="1"/>
      <w:bookmarkEnd w:id="1"/>
      <w:r w:rsidDel="00000000" w:rsidR="00000000" w:rsidRPr="00000000">
        <w:rPr>
          <w:rtl w:val="0"/>
        </w:rPr>
        <w:t xml:space="preserve">Optogenetics (Behaviour Manipulation)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Outgoing microcontroller TTL signal was not strong enough to drive both the Prizmatix pulser and the indicator LED (ACK1, SYNC1, ACK2, or SYNC2) circuit.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Disconnected LED circuit and the 3.3V TTL was able to drive the pulser.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fv9d81ej1z6d" w:id="2"/>
      <w:bookmarkEnd w:id="2"/>
      <w:r w:rsidDel="00000000" w:rsidR="00000000" w:rsidRPr="00000000">
        <w:rPr>
          <w:rtl w:val="0"/>
        </w:rPr>
        <w:t xml:space="preserve">Optogenetics (Calcium Imaging)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Incopix DAQ box can control the output voltage of its TTLs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this voltage to 3.3V to avoid damaging the indicator LEDs (ACK1, SYNC1, ACK2, or SYNC2) and microcontroller input.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  <w:rtl w:val="0"/>
      </w:rPr>
      <w:t xml:space="preserve">Raquel Ibáñez Alcalá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color w:val="b7b7b7"/>
        <w:sz w:val="18"/>
        <w:szCs w:val="18"/>
        <w:rtl w:val="0"/>
      </w:rPr>
      <w:t xml:space="preserve">Created 27 September, 2022 for PCB rev.1.0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