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56"/>
          <w:szCs w:val="56"/>
        </w:rPr>
        <w:t xml:space="preserve">Appalti AI Platform</w:t>
      </w:r>
    </w:p>
    <w:p>
      <w:pPr>
        <w:spacing w:after="200"/>
        <w:jc w:val="center"/>
      </w:pPr>
      <w:r>
        <w:rPr>
          <w:sz w:val="28"/>
          <w:szCs w:val="28"/>
        </w:rPr>
        <w:t xml:space="preserve">Technisch overzicht en werking</w:t>
      </w:r>
    </w:p>
    <w:p>
      <w:pPr>
        <w:spacing w:after="400"/>
        <w:jc w:val="center"/>
      </w:pPr>
      <w:r>
        <w:rPr>
          <w:color w:val="666666"/>
        </w:rPr>
        <w:t xml:space="preserve">2025-08-27</w:t>
      </w:r>
    </w:p>
    <w:p>
      <w:pPr>
        <w:pStyle w:val="Heading1"/>
      </w:pPr>
      <w:r>
        <w:rPr>
          <w:b/>
          <w:bCs/>
        </w:rPr>
        <w:t xml:space="preserve">Inhoudsopgave</w:t>
      </w:r>
    </w:p>
    <w:sdt>
      <w:sdtPr/>
      <w:sdtContent>
        <w:p>
          <w:r>
            <w:fldChar w:fldCharType="begin" w:dirty="true"/>
            <w:instrText xml:space="preserve">TOC \o "1-5"</w:instrText>
            <w:fldChar w:fldCharType="separate"/>
          </w:r>
        </w:p>
        <w:p>
          <w:r>
            <w:fldChar w:fldCharType="end"/>
          </w:r>
        </w:p>
      </w:sdtContent>
    </w:sdt>
    <w:p>
      <w:r>
        <w:br w:type="page"/>
      </w:r>
    </w:p>
    <w:p>
      <w:pPr>
        <w:pStyle w:val="Heading1"/>
      </w:pPr>
      <w:r>
        <w:rPr>
          <w:b/>
          <w:bCs/>
        </w:rPr>
        <w:t xml:space="preserve">1. Overzicht</w:t>
      </w:r>
    </w:p>
    <w:p>
      <w:r>
        <w:t xml:space="preserve">Het Appalti AI Platform is een multi-tenant SaaS-applicatie (Next.js) die consultants en klanten helpt bij het vinden, schrijven en beoordelen van aanbestedingen.</w:t>
      </w:r>
    </w:p>
    <w:p>
      <w:r>
        <w:t xml:space="preserve">Belangrijkste componenten: Webapp (Next.js), Auth0/NextAuth (login &amp; sessies), MongoDB Atlas (database + vector index), Vercel Blob (bestanden), Upstash Redis (rate limiting), Sentry (monitoring), externe APIs (TenderNed, KVK), en AI (Anthropic voor genereren/review, OpenAI voor embeddings).</w:t>
      </w:r>
    </w:p>
    <w:p>
      <w:pPr>
        <w:pStyle w:val="Heading1"/>
      </w:pPr>
      <w:r>
        <w:rPr>
          <w:b/>
          <w:bCs/>
        </w:rPr>
        <w:t xml:space="preserve">2. Architectuur in één oogopslag</w:t>
      </w:r>
    </w:p>
    <w:p>
      <w:r>
        <w:t xml:space="preserve">Onderstaande afbeelding toont de globale componenten en datastromen. RAG gebruikt geïndexeerde documenten uit MongoDB (knowledge_*), niet direct uit SharePoint/OneDrive; deze documenten komen via de ingestie-pipeline binnen.</w:t>
      </w:r>
    </w:p>
    <w:p>
      <w:pPr>
        <w:jc w:val="center"/>
      </w:pPr>
      <w:r>
        <w:drawing>
          <wp:inline distT="0" distB="0" distL="0" distR="0">
            <wp:extent cx="7620000" cy="4953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rPr>
          <w:b/>
          <w:bCs/>
        </w:rPr>
        <w:t xml:space="preserve">3. Authenticatie en sessies</w:t>
      </w:r>
    </w:p>
    <w:p>
      <w:r>
        <w:t xml:space="preserve">Login verloopt via Auth0 (Universal Login). NextAuth verwerkt de callback en beheert sessies. In callbacks.signIn synchroniseren we de gebruiker en memberships naar MongoDB. De middleware beschermt routes en stuurt niet-ingelogde gebruikers naar /auth/signin.</w:t>
      </w:r>
    </w:p>
    <w:p>
      <w:pPr>
        <w:pStyle w:val="Heading1"/>
      </w:pPr>
      <w:r>
        <w:rPr>
          <w:b/>
          <w:bCs/>
        </w:rPr>
        <w:t xml:space="preserve">4. Tenant context en rollen</w:t>
      </w:r>
    </w:p>
    <w:p>
      <w:r>
        <w:t xml:space="preserve">De actieve tenant/company wordt afgeleid uit memberships en cookies (activeCompanyId/activeTenantId). Platformrollen (Appalti) en company-rollen (client-tenant) bepalen wat een gebruiker mag doen.</w:t>
      </w:r>
    </w:p>
    <w:p>
      <w:pPr>
        <w:pStyle w:val="Heading1"/>
      </w:pPr>
      <w:r>
        <w:rPr>
          <w:b/>
          <w:bCs/>
        </w:rPr>
        <w:t xml:space="preserve">5. Client Companies en team</w:t>
      </w:r>
    </w:p>
    <w:p>
      <w:r>
        <w:t xml:space="preserve">Client companies leven in de eigen tenant. Voor Enterprise-scenario’s worden teamleden beheerd en kunnen invites worden verstuurd en geaccepteerd. Eén client kan eigen tenders/bids beheren.</w:t>
      </w:r>
    </w:p>
    <w:p>
      <w:pPr>
        <w:pStyle w:val="Heading1"/>
      </w:pPr>
      <w:r>
        <w:rPr>
          <w:b/>
          <w:bCs/>
        </w:rPr>
        <w:t xml:space="preserve">6. TenderNed integratie en koppelen</w:t>
      </w:r>
    </w:p>
    <w:p>
      <w:r>
        <w:t xml:space="preserve">De lijst met aanbestedingen komt via de TenderNed API. Na selectie wordt een Tender-document (source=tenderned, externalId) aangemaakt en – zo nodig – een Bid-proces gecreëerd. Hierdoor ontstaat een door Appalti te bewerken proces per tender.</w:t>
      </w:r>
    </w:p>
    <w:p>
      <w:pPr>
        <w:pStyle w:val="Heading1"/>
      </w:pPr>
      <w:r>
        <w:rPr>
          <w:b/>
          <w:bCs/>
        </w:rPr>
        <w:t xml:space="preserve">7. Editor en AI (RAG)</w:t>
      </w:r>
    </w:p>
    <w:p>
      <w:r>
        <w:t xml:space="preserve">Bij “Genereer met AI (RAG)” maakt de app een embedding van de vraag, zoekt relevante passages in knowledge_chunks (Atlas Vector Search of fallback cosine-ranking) en construeert een prompt voor Anthropic (Claude). Bij “Review per alinea” geeft de AI per alinea diagnose + verbeterde versie.</w:t>
      </w:r>
    </w:p>
    <w:p>
      <w:pPr>
        <w:pStyle w:val="Heading1"/>
      </w:pPr>
      <w:r>
        <w:rPr>
          <w:b/>
          <w:bCs/>
        </w:rPr>
        <w:t xml:space="preserve">8. Ingestie van documenten (SharePoint/OneDrive)</w:t>
      </w:r>
    </w:p>
    <w:p>
      <w:r>
        <w:t xml:space="preserve">Via Microsoft Graph worden tekstachtige documenten opgehaald (vertical: SharePoint, horizontaal: OneDrive). De ingestie-route splitst tekst in chunks, maakt embeddings (OpenAI) en slaat alles op in knowledge_documents en knowledge_chunks. RAG zoekt vervolgens uitsluitend in deze geïndexeerde kopieën.</w:t>
      </w:r>
    </w:p>
    <w:p>
      <w:pPr>
        <w:pStyle w:val="Heading1"/>
      </w:pPr>
      <w:r>
        <w:rPr>
          <w:b/>
          <w:bCs/>
        </w:rPr>
        <w:t xml:space="preserve">9. Uploads en bijlagen</w:t>
      </w:r>
    </w:p>
    <w:p>
      <w:r>
        <w:t xml:space="preserve">Bestanden die in de editor worden geüpload gaan via @vercel/blob. De URL en metadata worden opgeslagen in Bid.stages.$.attachments zodat ze per fase terug te vinden zijn.</w:t>
      </w:r>
    </w:p>
    <w:p>
      <w:pPr>
        <w:pStyle w:val="Heading1"/>
      </w:pPr>
      <w:r>
        <w:rPr>
          <w:b/>
          <w:bCs/>
        </w:rPr>
        <w:t xml:space="preserve">10. Datamodel (kern)</w:t>
      </w:r>
    </w:p>
    <w:p>
      <w:r>
        <w:t xml:space="preserve">Kerncollecties: companies, users, memberships, clientCompanies, tenders, bids (stages). Voor RAG: knowledge_documents en knowledge_chunks (embedding).</w:t>
      </w:r>
    </w:p>
    <w:p>
      <w:pPr>
        <w:pStyle w:val="Heading1"/>
      </w:pPr>
      <w:r>
        <w:rPr>
          <w:b/>
          <w:bCs/>
        </w:rPr>
        <w:t xml:space="preserve">11. Externe APIs</w:t>
      </w:r>
    </w:p>
    <w:p>
      <w:r>
        <w:t xml:space="preserve">• TenderNed – aanbestedingsaankondigingen.
• KVK – bedrijfsprofielen.
• Auth0 – authenticatie.
• Microsoft Graph – documentenbronnen.
• Anthropic – genereren/review.
• OpenAI – embeddings.</w:t>
      </w:r>
    </w:p>
    <w:p>
      <w:pPr>
        <w:pStyle w:val="Heading1"/>
      </w:pPr>
      <w:r>
        <w:rPr>
          <w:b/>
          <w:bCs/>
        </w:rPr>
        <w:t xml:space="preserve">12. Observability, veiligheid en limiting</w:t>
      </w:r>
    </w:p>
    <w:p>
      <w:r>
        <w:t xml:space="preserve">Sentry logt errors. Upstash Redis beperkt verzoeken waar nodig (b.v. KVK, invites). Geheimen staan in Vercel Project Settings. Multi-tenant isolatie wordt afgedwongen in repositories en helpers.</w:t>
      </w:r>
    </w:p>
    <w:p>
      <w:pPr>
        <w:pStyle w:val="Heading1"/>
      </w:pPr>
      <w:r>
        <w:rPr>
          <w:b/>
          <w:bCs/>
        </w:rPr>
        <w:t xml:space="preserve">13. Troubleshooting (bekende punten)</w:t>
      </w:r>
    </w:p>
    <w:p>
      <w:r>
        <w:t xml:space="preserve">Als Atlas Vector Search ontbreekt, zie je “Vector search unavailable, falling back to in-memory similarity”. De app werkt dan gewoon, maar trager en minder precies. Oplossing: maak index "vector_index" op knowledge_chunks.embedding (dimensie 1536).</w:t>
      </w:r>
    </w:p>
    <w:p>
      <w:pPr>
        <w:pStyle w:val="Heading1"/>
      </w:pPr>
      <w:r>
        <w:rPr>
          <w:b/>
          <w:bCs/>
        </w:rPr>
        <w:t xml:space="preserve">14. Bijlagen</w:t>
      </w:r>
    </w:p>
    <w:p>
      <w:r>
        <w:t xml:space="preserve">• A4 architectuurdiagram: public/architecture-a4.png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4p0vmhvrcopjpj1ynfit.png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Appalti AI Platform – Technische documentatie</dc:title>
  <dc:creator>Appalti Platform</dc:creator>
  <dc:description>Overzicht van architectuur, componenten, datastromen en integraties.</dc:description>
  <cp:lastModifiedBy>Un-named</cp:lastModifiedBy>
  <cp:revision>1</cp:revision>
  <dcterms:created xsi:type="dcterms:W3CDTF">2025-08-27T11:22:57.852Z</dcterms:created>
  <dcterms:modified xsi:type="dcterms:W3CDTF">2025-08-27T11:22:57.852Z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