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raster"/>
        <w:tblW w:w="12829" w:type="dxa"/>
        <w:tblInd w:w="-1352" w:type="dxa"/>
        <w:tblLayout w:type="fixed"/>
        <w:tblLook w:val="04A0" w:firstRow="1" w:lastRow="0" w:firstColumn="1" w:lastColumn="0" w:noHBand="0" w:noVBand="1"/>
      </w:tblPr>
      <w:tblGrid>
        <w:gridCol w:w="993"/>
        <w:gridCol w:w="11836"/>
      </w:tblGrid>
      <w:tr w:rsidR="00CF01E3" w:rsidRPr="00683196" w14:paraId="2C0352D4" w14:textId="77777777" w:rsidTr="00683196">
        <w:trPr>
          <w:trHeight w:val="318"/>
        </w:trPr>
        <w:tc>
          <w:tcPr>
            <w:tcW w:w="993" w:type="dxa"/>
          </w:tcPr>
          <w:p w14:paraId="68614D9F" w14:textId="09E7540D" w:rsidR="00066013" w:rsidRPr="00683196" w:rsidRDefault="00066013" w:rsidP="00C92500">
            <w:pPr>
              <w:rPr>
                <w:rFonts w:cstheme="minorHAnsi"/>
                <w:b/>
                <w:bCs/>
                <w:lang w:val="en-US"/>
              </w:rPr>
            </w:pPr>
            <w:bookmarkStart w:id="0" w:name="_Hlk51663622"/>
            <w:r w:rsidRPr="00683196">
              <w:rPr>
                <w:rFonts w:cstheme="minorHAnsi"/>
                <w:b/>
                <w:bCs/>
                <w:lang w:val="en-US"/>
              </w:rPr>
              <w:t>File name</w:t>
            </w:r>
          </w:p>
        </w:tc>
        <w:tc>
          <w:tcPr>
            <w:tcW w:w="11836" w:type="dxa"/>
          </w:tcPr>
          <w:p w14:paraId="77EBCC23" w14:textId="77777777" w:rsidR="00066013" w:rsidRPr="00683196" w:rsidRDefault="00066013" w:rsidP="00CF01E3">
            <w:pPr>
              <w:ind w:right="-573"/>
              <w:rPr>
                <w:rFonts w:cstheme="minorHAnsi"/>
                <w:color w:val="7F7F7F" w:themeColor="text1" w:themeTint="80"/>
                <w:sz w:val="20"/>
                <w:szCs w:val="20"/>
              </w:rPr>
            </w:pPr>
            <w:r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Sept_1</w:t>
            </w:r>
            <w:r w:rsidR="00EA4B8D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8</w:t>
            </w:r>
            <w:r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_</w:t>
            </w:r>
            <w:r w:rsidR="00512D80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Urology</w:t>
            </w:r>
            <w:r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_</w:t>
            </w:r>
            <w:r w:rsidR="00512D80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704MO</w:t>
            </w:r>
          </w:p>
        </w:tc>
      </w:tr>
      <w:tr w:rsidR="00EE452C" w:rsidRPr="00683196" w14:paraId="4F0B2E2E" w14:textId="77777777" w:rsidTr="00683196">
        <w:trPr>
          <w:trHeight w:val="318"/>
        </w:trPr>
        <w:tc>
          <w:tcPr>
            <w:tcW w:w="993" w:type="dxa"/>
          </w:tcPr>
          <w:p w14:paraId="168D4917" w14:textId="175E5CF2" w:rsidR="003D1F68" w:rsidRPr="00683196" w:rsidRDefault="00AE5ABB" w:rsidP="00C92500">
            <w:pPr>
              <w:rPr>
                <w:rFonts w:cstheme="minorHAnsi"/>
                <w:b/>
                <w:bCs/>
                <w:lang w:val="en-US"/>
              </w:rPr>
            </w:pPr>
            <w:r w:rsidRPr="00683196">
              <w:rPr>
                <w:rFonts w:cstheme="minorHAnsi"/>
                <w:b/>
                <w:bCs/>
                <w:lang w:val="en-US"/>
              </w:rPr>
              <w:t>Reference</w:t>
            </w:r>
          </w:p>
        </w:tc>
        <w:tc>
          <w:tcPr>
            <w:tcW w:w="11836" w:type="dxa"/>
          </w:tcPr>
          <w:p w14:paraId="4539A211" w14:textId="77777777" w:rsidR="005022C8" w:rsidRPr="00683196" w:rsidRDefault="00735A93" w:rsidP="00C92500">
            <w:pPr>
              <w:ind w:right="-573"/>
              <w:rPr>
                <w:rFonts w:cstheme="minorHAnsi"/>
                <w:sz w:val="20"/>
                <w:szCs w:val="20"/>
              </w:rPr>
            </w:pPr>
            <w:proofErr w:type="spellStart"/>
            <w:r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Grivas</w:t>
            </w:r>
            <w:proofErr w:type="spellEnd"/>
            <w:r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 P.</w:t>
            </w:r>
            <w:r w:rsidR="006A1286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 </w:t>
            </w:r>
            <w:r w:rsidR="00AE5ABB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et al, </w:t>
            </w:r>
            <w:proofErr w:type="spellStart"/>
            <w:r w:rsidR="00AE5ABB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Abst</w:t>
            </w:r>
            <w:proofErr w:type="spellEnd"/>
            <w:r w:rsidR="00AE5ABB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.#</w:t>
            </w:r>
            <w:r w:rsidR="00512D80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 704MO</w:t>
            </w:r>
            <w:r w:rsidR="00AE5ABB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 xml:space="preserve"> @ESMO® 20</w:t>
            </w:r>
            <w:r w:rsidR="00512D80" w:rsidRPr="00683196">
              <w:rPr>
                <w:rFonts w:cstheme="minorHAnsi"/>
                <w:color w:val="7F7F7F" w:themeColor="text1" w:themeTint="80"/>
                <w:sz w:val="20"/>
                <w:szCs w:val="20"/>
              </w:rPr>
              <w:t>20</w:t>
            </w:r>
          </w:p>
        </w:tc>
      </w:tr>
      <w:tr w:rsidR="00EE452C" w:rsidRPr="00683196" w14:paraId="683FD403" w14:textId="77777777" w:rsidTr="00683196">
        <w:trPr>
          <w:trHeight w:val="773"/>
        </w:trPr>
        <w:tc>
          <w:tcPr>
            <w:tcW w:w="993" w:type="dxa"/>
          </w:tcPr>
          <w:p w14:paraId="7AF789E7" w14:textId="6FF9007F" w:rsidR="005022C8" w:rsidRPr="00683196" w:rsidRDefault="005022C8" w:rsidP="00C92500">
            <w:pPr>
              <w:rPr>
                <w:rFonts w:cstheme="minorHAnsi"/>
                <w:b/>
                <w:bCs/>
              </w:rPr>
            </w:pPr>
            <w:proofErr w:type="spellStart"/>
            <w:r w:rsidRPr="00683196">
              <w:rPr>
                <w:rFonts w:cstheme="minorHAnsi"/>
                <w:b/>
                <w:bCs/>
              </w:rPr>
              <w:t>Title</w:t>
            </w:r>
            <w:proofErr w:type="spellEnd"/>
          </w:p>
          <w:p w14:paraId="0572520A" w14:textId="76B4A7AB" w:rsidR="005B704E" w:rsidRPr="00683196" w:rsidRDefault="005B704E" w:rsidP="00C92500">
            <w:pPr>
              <w:rPr>
                <w:rFonts w:cstheme="minorHAnsi"/>
                <w:lang w:val="en-US"/>
              </w:rPr>
            </w:pPr>
          </w:p>
        </w:tc>
        <w:tc>
          <w:tcPr>
            <w:tcW w:w="11836" w:type="dxa"/>
          </w:tcPr>
          <w:p w14:paraId="0DC20B80" w14:textId="77777777" w:rsidR="005022C8" w:rsidRPr="00683196" w:rsidRDefault="00BA4C7F" w:rsidP="00C92500">
            <w:pPr>
              <w:ind w:right="-573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Which patients benefit from </w:t>
            </w:r>
            <w:r w:rsidR="00841402" w:rsidRPr="00683196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Avelumab maintenance </w:t>
            </w:r>
            <w:r w:rsidRPr="00683196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following response to 1 L </w:t>
            </w:r>
            <w:r w:rsidR="00841402" w:rsidRPr="00683196">
              <w:rPr>
                <w:rFonts w:cstheme="minorHAnsi"/>
                <w:b/>
                <w:bCs/>
                <w:sz w:val="20"/>
                <w:szCs w:val="20"/>
                <w:lang w:val="en-US"/>
              </w:rPr>
              <w:t>chemotherapy for</w:t>
            </w:r>
            <w:r w:rsidRPr="00683196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adv. </w:t>
            </w:r>
            <w:r w:rsidR="00841402" w:rsidRPr="00683196">
              <w:rPr>
                <w:rFonts w:cstheme="minorHAnsi"/>
                <w:b/>
                <w:bCs/>
                <w:sz w:val="20"/>
                <w:szCs w:val="20"/>
                <w:lang w:val="en-US"/>
              </w:rPr>
              <w:t>urothelial ca</w:t>
            </w:r>
            <w:r w:rsidRPr="00683196">
              <w:rPr>
                <w:rFonts w:cstheme="minorHAnsi"/>
                <w:b/>
                <w:bCs/>
                <w:sz w:val="20"/>
                <w:szCs w:val="20"/>
                <w:lang w:val="en-US"/>
              </w:rPr>
              <w:t>ncer?</w:t>
            </w:r>
          </w:p>
        </w:tc>
      </w:tr>
      <w:tr w:rsidR="00EE452C" w:rsidRPr="00683196" w14:paraId="6B02F7AE" w14:textId="77777777" w:rsidTr="00683196">
        <w:trPr>
          <w:trHeight w:val="1548"/>
        </w:trPr>
        <w:tc>
          <w:tcPr>
            <w:tcW w:w="993" w:type="dxa"/>
          </w:tcPr>
          <w:p w14:paraId="10053415" w14:textId="5E91C123" w:rsidR="005B704E" w:rsidRPr="00683196" w:rsidRDefault="005B704E" w:rsidP="00C92500">
            <w:pPr>
              <w:rPr>
                <w:rFonts w:cstheme="minorHAnsi"/>
                <w:b/>
                <w:bCs/>
                <w:lang w:val="en-US"/>
              </w:rPr>
            </w:pPr>
            <w:r w:rsidRPr="00683196">
              <w:rPr>
                <w:rFonts w:cstheme="minorHAnsi"/>
                <w:b/>
                <w:bCs/>
                <w:lang w:val="en-US"/>
              </w:rPr>
              <w:t>Sub-title</w:t>
            </w:r>
          </w:p>
          <w:p w14:paraId="32ABBD68" w14:textId="77777777" w:rsidR="00C92500" w:rsidRPr="00683196" w:rsidRDefault="00C92500" w:rsidP="00C92500">
            <w:pPr>
              <w:rPr>
                <w:rFonts w:cstheme="minorHAnsi"/>
                <w:lang w:val="en-US"/>
              </w:rPr>
            </w:pPr>
          </w:p>
          <w:p w14:paraId="018E05F8" w14:textId="77777777" w:rsidR="00277582" w:rsidRPr="00683196" w:rsidRDefault="00277582" w:rsidP="00C92500">
            <w:pPr>
              <w:rPr>
                <w:rFonts w:cstheme="minorHAnsi"/>
                <w:lang w:val="en-US"/>
              </w:rPr>
            </w:pPr>
          </w:p>
          <w:p w14:paraId="40879DA3" w14:textId="77777777" w:rsidR="00277582" w:rsidRPr="00683196" w:rsidRDefault="00277582" w:rsidP="00C92500">
            <w:pPr>
              <w:rPr>
                <w:rFonts w:cstheme="minorHAnsi"/>
                <w:lang w:val="en-US"/>
              </w:rPr>
            </w:pPr>
          </w:p>
        </w:tc>
        <w:tc>
          <w:tcPr>
            <w:tcW w:w="11836" w:type="dxa"/>
          </w:tcPr>
          <w:p w14:paraId="3863CD5E" w14:textId="77777777" w:rsidR="00683196" w:rsidRDefault="00841402" w:rsidP="00C92500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Avelumab first-line (1L) maintenance + best supportive care vs </w:t>
            </w:r>
            <w:r w:rsidR="00BA4C7F" w:rsidRPr="00683196">
              <w:rPr>
                <w:rFonts w:cstheme="minorHAnsi"/>
                <w:sz w:val="20"/>
                <w:szCs w:val="20"/>
                <w:lang w:val="en-US"/>
              </w:rPr>
              <w:t>best supportive a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lone </w:t>
            </w:r>
            <w:r w:rsidR="00BA4C7F" w:rsidRPr="00683196">
              <w:rPr>
                <w:rFonts w:cstheme="minorHAnsi"/>
                <w:sz w:val="20"/>
                <w:szCs w:val="20"/>
                <w:lang w:val="en-US"/>
              </w:rPr>
              <w:t xml:space="preserve">following response or stable disease to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1L </w:t>
            </w:r>
          </w:p>
          <w:p w14:paraId="5A0270E7" w14:textId="77777777" w:rsidR="00683196" w:rsidRDefault="00841402" w:rsidP="00C92500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chemotherapy </w:t>
            </w:r>
            <w:r w:rsidR="00C66EB3" w:rsidRPr="00683196">
              <w:rPr>
                <w:rFonts w:cstheme="minorHAnsi"/>
                <w:sz w:val="20"/>
                <w:szCs w:val="20"/>
                <w:lang w:val="en-US"/>
              </w:rPr>
              <w:t xml:space="preserve">(CT)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for advanced urothelial carcinoma: Subgroup analyses from JAVELIN Bladder 100</w:t>
            </w:r>
            <w:r w:rsidR="00BA4C7F" w:rsidRPr="00683196">
              <w:rPr>
                <w:rFonts w:cstheme="minorHAnsi"/>
                <w:sz w:val="20"/>
                <w:szCs w:val="20"/>
                <w:lang w:val="en-US"/>
              </w:rPr>
              <w:t xml:space="preserve"> show benefit in all </w:t>
            </w:r>
          </w:p>
          <w:p w14:paraId="2DB745F1" w14:textId="67CA6145" w:rsidR="005B704E" w:rsidRPr="00683196" w:rsidRDefault="00BA4C7F" w:rsidP="00C92500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prespecified subgroups</w:t>
            </w:r>
          </w:p>
        </w:tc>
      </w:tr>
      <w:tr w:rsidR="00EE452C" w:rsidRPr="00683196" w14:paraId="734CCA39" w14:textId="77777777" w:rsidTr="00683196">
        <w:trPr>
          <w:trHeight w:val="9784"/>
        </w:trPr>
        <w:tc>
          <w:tcPr>
            <w:tcW w:w="993" w:type="dxa"/>
          </w:tcPr>
          <w:p w14:paraId="3F365ADC" w14:textId="77777777" w:rsidR="00683196" w:rsidRDefault="005B704E" w:rsidP="00CF01E3">
            <w:pPr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683196">
              <w:rPr>
                <w:rFonts w:cstheme="minorHAnsi"/>
                <w:b/>
                <w:bCs/>
                <w:lang w:val="en-US"/>
              </w:rPr>
              <w:t>Texte</w:t>
            </w:r>
            <w:proofErr w:type="spellEnd"/>
            <w:r w:rsidRPr="00683196">
              <w:rPr>
                <w:rFonts w:cstheme="minorHAnsi"/>
                <w:b/>
                <w:bCs/>
                <w:lang w:val="en-US"/>
              </w:rPr>
              <w:t>/</w:t>
            </w:r>
          </w:p>
          <w:p w14:paraId="3FADB9D9" w14:textId="2C727D1C" w:rsidR="00CF01E3" w:rsidRPr="00683196" w:rsidRDefault="005B704E" w:rsidP="00CF01E3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  <w:r w:rsidRPr="00683196">
              <w:rPr>
                <w:rFonts w:cstheme="minorHAnsi"/>
                <w:b/>
                <w:bCs/>
                <w:lang w:val="en-US"/>
              </w:rPr>
              <w:t>Slides</w:t>
            </w:r>
          </w:p>
          <w:p w14:paraId="06BF8849" w14:textId="77777777" w:rsidR="00595627" w:rsidRPr="00683196" w:rsidRDefault="00595627" w:rsidP="00CF01E3">
            <w:pPr>
              <w:rPr>
                <w:rFonts w:cstheme="minorHAnsi"/>
                <w:lang w:val="en-US"/>
              </w:rPr>
            </w:pPr>
          </w:p>
          <w:p w14:paraId="7CDC12CF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21CA9B8B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74BDDF36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332911E7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49A0AB5A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33DA6CC5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5D8B8992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4D29953B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4F4EE78D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2115F460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624CCCC8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3759008E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6C7710A3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2EC6413D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06C19D1A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4CB49D0D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47F9D4D0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56660847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23586808" w14:textId="77777777" w:rsidR="00E52865" w:rsidRPr="00683196" w:rsidRDefault="00E52865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119BC563" w14:textId="77777777" w:rsidR="00E52865" w:rsidRPr="00683196" w:rsidRDefault="00E52865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1FF02F93" w14:textId="77777777" w:rsidR="00E52865" w:rsidRPr="00683196" w:rsidRDefault="00E52865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5C5DCE40" w14:textId="77777777" w:rsidR="00E52865" w:rsidRPr="00683196" w:rsidRDefault="00E52865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15BE61C4" w14:textId="77777777" w:rsidR="00E52865" w:rsidRPr="00683196" w:rsidRDefault="00E52865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43B960FD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39CA9A02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2C831F3C" w14:textId="77777777" w:rsidR="00C92500" w:rsidRPr="00683196" w:rsidRDefault="00C92500" w:rsidP="00C92500">
            <w:pPr>
              <w:rPr>
                <w:rFonts w:cstheme="minorHAnsi"/>
                <w:b/>
                <w:bCs/>
                <w:vertAlign w:val="superscript"/>
                <w:lang w:val="en-US"/>
              </w:rPr>
            </w:pPr>
          </w:p>
          <w:p w14:paraId="3D5218D7" w14:textId="77777777" w:rsidR="00C92500" w:rsidRPr="00683196" w:rsidRDefault="00C92500" w:rsidP="00C92500">
            <w:pPr>
              <w:rPr>
                <w:rFonts w:cstheme="minorHAnsi"/>
                <w:b/>
                <w:bCs/>
                <w:lang w:val="en-US"/>
              </w:rPr>
            </w:pPr>
          </w:p>
        </w:tc>
        <w:tc>
          <w:tcPr>
            <w:tcW w:w="11836" w:type="dxa"/>
          </w:tcPr>
          <w:p w14:paraId="0FF9ABA9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JAVELIN Bladder 100 evaluat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>ed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avelumab as maintenance therapy following response or stable disease with first-line </w:t>
            </w:r>
          </w:p>
          <w:p w14:paraId="10AA07DE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platinum-based </w:t>
            </w:r>
            <w:r w:rsidR="00C66EB3" w:rsidRPr="00683196">
              <w:rPr>
                <w:rFonts w:cstheme="minorHAnsi"/>
                <w:sz w:val="20"/>
                <w:szCs w:val="20"/>
                <w:lang w:val="en-US"/>
              </w:rPr>
              <w:t>CT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in patients with advanced urothelial cancer. </w:t>
            </w:r>
            <w:r w:rsidR="00BA4C7F" w:rsidRPr="00683196">
              <w:rPr>
                <w:rFonts w:cstheme="minorHAnsi"/>
                <w:sz w:val="20"/>
                <w:szCs w:val="20"/>
                <w:lang w:val="en-US"/>
              </w:rPr>
              <w:t>P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atients </w:t>
            </w:r>
            <w:r w:rsidR="00BA4C7F" w:rsidRPr="00683196">
              <w:rPr>
                <w:rFonts w:cstheme="minorHAnsi"/>
                <w:sz w:val="20"/>
                <w:szCs w:val="20"/>
                <w:lang w:val="en-US"/>
              </w:rPr>
              <w:t xml:space="preserve">(n= 700)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without disease progression after 4-6 cycles </w:t>
            </w:r>
          </w:p>
          <w:p w14:paraId="242529F4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of </w:t>
            </w:r>
            <w:r w:rsidR="00C66EB3" w:rsidRPr="00683196">
              <w:rPr>
                <w:rFonts w:cstheme="minorHAnsi"/>
                <w:sz w:val="20"/>
                <w:szCs w:val="20"/>
                <w:lang w:val="en-US"/>
              </w:rPr>
              <w:t xml:space="preserve">CT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were 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randomised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1:1 to receive maintenance avelumab every 2 weeks plus BSC or BSC alone. Primary endpoint was OS, </w:t>
            </w:r>
          </w:p>
          <w:p w14:paraId="02808959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assessed from 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randomisation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 </w:t>
            </w:r>
          </w:p>
          <w:p w14:paraId="6221E2BA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Key findings of the study were presented  at ASCO 2020 Virtual Meeting;  Avelumab plus BSC significantly prolonged OS vs BSC </w:t>
            </w:r>
          </w:p>
          <w:p w14:paraId="371683AC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alone (hazard ratio [HR] 0.69; [CI] 0.56, 0.86; 1-sided p = 0.0005). Median OS with avelumab plus BSC vs BSC alone was 21.4 vs 14.3 </w:t>
            </w:r>
          </w:p>
          <w:p w14:paraId="50F8E07A" w14:textId="4903EFE2" w:rsidR="00BA4C7F" w:rsidRP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months, respectively. </w:t>
            </w:r>
          </w:p>
          <w:p w14:paraId="513C71B4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T</w:t>
            </w:r>
            <w:r w:rsidR="00BA4C7F" w:rsidRPr="00683196">
              <w:rPr>
                <w:rFonts w:cstheme="minorHAnsi"/>
                <w:sz w:val="20"/>
                <w:szCs w:val="20"/>
                <w:lang w:val="en-US"/>
              </w:rPr>
              <w:t xml:space="preserve">his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survival benefit is robust and appears larger than </w:t>
            </w:r>
            <w:r w:rsidR="00BA4C7F" w:rsidRPr="00683196">
              <w:rPr>
                <w:rFonts w:cstheme="minorHAnsi"/>
                <w:sz w:val="20"/>
                <w:szCs w:val="20"/>
                <w:lang w:val="en-US"/>
              </w:rPr>
              <w:t>the 3 months reported w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ith the use of a check point inhibitor (CPI)  in 2nd </w:t>
            </w:r>
          </w:p>
          <w:p w14:paraId="175119A9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line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>,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but </w:t>
            </w:r>
            <w:r w:rsidR="00BA4C7F" w:rsidRPr="00683196">
              <w:rPr>
                <w:rFonts w:cstheme="minorHAnsi"/>
                <w:sz w:val="20"/>
                <w:szCs w:val="20"/>
                <w:lang w:val="en-US"/>
              </w:rPr>
              <w:t>is difficult to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be compared in such a way since 2nd line</w:t>
            </w:r>
            <w:r w:rsidR="00380BD6" w:rsidRPr="00683196">
              <w:rPr>
                <w:rFonts w:cstheme="minorHAnsi"/>
                <w:sz w:val="20"/>
                <w:szCs w:val="20"/>
                <w:lang w:val="en-US"/>
              </w:rPr>
              <w:t xml:space="preserve"> CPI use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includes patients with progression at best response during</w:t>
            </w:r>
          </w:p>
          <w:p w14:paraId="74396CA2" w14:textId="77777777" w:rsidR="00683196" w:rsidRDefault="00C66EB3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CT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 (who do poor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>)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 and JAVELIN was biased due </w:t>
            </w:r>
            <w:r w:rsidR="00380BD6" w:rsidRPr="00683196">
              <w:rPr>
                <w:rFonts w:cstheme="minorHAnsi"/>
                <w:sz w:val="20"/>
                <w:szCs w:val="20"/>
                <w:lang w:val="en-US"/>
              </w:rPr>
              <w:t>patient selection; both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 a higher </w:t>
            </w:r>
            <w:r w:rsidR="00380BD6" w:rsidRPr="00683196">
              <w:rPr>
                <w:rFonts w:cstheme="minorHAnsi"/>
                <w:sz w:val="20"/>
                <w:szCs w:val="20"/>
                <w:lang w:val="en-US"/>
              </w:rPr>
              <w:t>%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 than expected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CT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-responding patients (72 % of </w:t>
            </w:r>
          </w:p>
          <w:p w14:paraId="76C893EA" w14:textId="76429ACC" w:rsidR="00841402" w:rsidRP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the p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>ts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had obtained CR/PR), as well as a high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 xml:space="preserve"> %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of PD-L1 +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ve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patients (54%), who may obtain the greatest benefit by CPI treatment. </w:t>
            </w:r>
          </w:p>
          <w:p w14:paraId="07DF71EB" w14:textId="77777777" w:rsidR="00841402" w:rsidRP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The</w:t>
            </w:r>
            <w:r w:rsidR="00380BD6" w:rsidRPr="00683196">
              <w:rPr>
                <w:rFonts w:cstheme="minorHAnsi"/>
                <w:sz w:val="20"/>
                <w:szCs w:val="20"/>
                <w:lang w:val="en-US"/>
              </w:rPr>
              <w:t>refore the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data presented</w:t>
            </w:r>
            <w:r w:rsidR="00C66EB3" w:rsidRPr="00683196">
              <w:rPr>
                <w:rFonts w:cstheme="minorHAnsi"/>
                <w:sz w:val="20"/>
                <w:szCs w:val="20"/>
                <w:lang w:val="en-US"/>
              </w:rPr>
              <w:t xml:space="preserve"> here on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prespecified subgroup</w:t>
            </w:r>
            <w:r w:rsidR="00C66EB3" w:rsidRPr="00683196">
              <w:rPr>
                <w:rFonts w:cstheme="minorHAnsi"/>
                <w:sz w:val="20"/>
                <w:szCs w:val="20"/>
                <w:lang w:val="en-US"/>
              </w:rPr>
              <w:t xml:space="preserve"> results</w:t>
            </w:r>
            <w:r w:rsidR="00380BD6" w:rsidRPr="00683196">
              <w:rPr>
                <w:rFonts w:cstheme="minorHAnsi"/>
                <w:sz w:val="20"/>
                <w:szCs w:val="20"/>
                <w:lang w:val="en-US"/>
              </w:rPr>
              <w:t xml:space="preserve"> are important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.</w:t>
            </w:r>
          </w:p>
          <w:p w14:paraId="3674AA2F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OS benefit with avelumab + BSC vs BSC alone was observed across prespecified subgroups, including pts with objective response</w:t>
            </w:r>
          </w:p>
          <w:p w14:paraId="1C8E6581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(CR/PR; HR 0.69 [0.53, 0.89]) or SD (; HR 0.70 [0.46, 1.05]) as best response to 1L 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CTx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; and pts with visceral; HR 0.82 [0.62, 1.09]) </w:t>
            </w:r>
          </w:p>
          <w:p w14:paraId="1FEBDD87" w14:textId="77777777" w:rsid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and 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nonvisceral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met</w:t>
            </w:r>
            <w:r w:rsidR="00A71879" w:rsidRPr="00683196">
              <w:rPr>
                <w:rFonts w:cstheme="minorHAnsi"/>
                <w:sz w:val="20"/>
                <w:szCs w:val="20"/>
                <w:lang w:val="en-US"/>
              </w:rPr>
              <w:t>s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; HR 0.54 [0.38, 0.76]). Also type of </w:t>
            </w:r>
            <w:r w:rsidR="00C66EB3" w:rsidRPr="00683196">
              <w:rPr>
                <w:rFonts w:cstheme="minorHAnsi"/>
                <w:sz w:val="20"/>
                <w:szCs w:val="20"/>
                <w:lang w:val="en-US"/>
              </w:rPr>
              <w:t xml:space="preserve">CT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did not affect outcome</w:t>
            </w:r>
            <w:r w:rsidR="00C66EB3" w:rsidRPr="00683196">
              <w:rPr>
                <w:rFonts w:cstheme="minorHAnsi"/>
                <w:sz w:val="20"/>
                <w:szCs w:val="20"/>
                <w:lang w:val="en-US"/>
              </w:rPr>
              <w:t>.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Of interest is the impact of PD-L1 result ; PD-L1</w:t>
            </w:r>
          </w:p>
          <w:p w14:paraId="22220C3B" w14:textId="369E4754" w:rsidR="00841402" w:rsidRP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+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ve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NE  vs 17.1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 xml:space="preserve">mo,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HR 0.56 (0.40, 0.78), p 0.08, PD-L1 -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ve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18.8 vs 13.7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>mo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>,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HR 0.86 (0.62, 1.18)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>,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p 0.68</w:t>
            </w:r>
          </w:p>
          <w:p w14:paraId="392953FB" w14:textId="77777777" w:rsidR="00683196" w:rsidRDefault="00643E7E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Thus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 the high % of PD-L1 +</w:t>
            </w:r>
            <w:proofErr w:type="spellStart"/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>ve</w:t>
            </w:r>
            <w:proofErr w:type="spellEnd"/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 pts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in JAVELIN 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did not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polish the r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obust outcome , since a strong trend towards benefit (median 5 </w:t>
            </w:r>
          </w:p>
          <w:p w14:paraId="0F3BEE55" w14:textId="704F9C3A" w:rsidR="00841402" w:rsidRP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months) was also observed in PD-L1 -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ve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83196">
              <w:rPr>
                <w:rFonts w:cstheme="minorHAnsi"/>
                <w:sz w:val="20"/>
                <w:szCs w:val="20"/>
                <w:lang w:val="en-US"/>
              </w:rPr>
              <w:t>p</w:t>
            </w:r>
            <w:r w:rsidR="00643E7E" w:rsidRPr="00683196">
              <w:rPr>
                <w:rFonts w:cstheme="minorHAnsi"/>
                <w:sz w:val="20"/>
                <w:szCs w:val="20"/>
                <w:lang w:val="en-US"/>
              </w:rPr>
              <w:t>ts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s</w:t>
            </w:r>
            <w:proofErr w:type="spellEnd"/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. </w:t>
            </w:r>
          </w:p>
          <w:p w14:paraId="4C4D0C43" w14:textId="77777777" w:rsidR="00683196" w:rsidRDefault="00C66EB3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>R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emaining question in terms of cost-effectiveness, as well as treatment burden, is whether this 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OS</w:t>
            </w:r>
            <w:r w:rsidR="00841402" w:rsidRPr="00683196">
              <w:rPr>
                <w:rFonts w:cstheme="minorHAnsi"/>
                <w:sz w:val="20"/>
                <w:szCs w:val="20"/>
                <w:lang w:val="en-US"/>
              </w:rPr>
              <w:t xml:space="preserve"> benefit can also be obtained </w:t>
            </w:r>
          </w:p>
          <w:p w14:paraId="0932DD84" w14:textId="0187A838" w:rsidR="00841402" w:rsidRPr="00683196" w:rsidRDefault="00841402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  <w:r w:rsidRPr="00683196">
              <w:rPr>
                <w:rFonts w:cstheme="minorHAnsi"/>
                <w:sz w:val="20"/>
                <w:szCs w:val="20"/>
                <w:lang w:val="en-US"/>
              </w:rPr>
              <w:t xml:space="preserve">with a shorter duration of maintenance </w:t>
            </w:r>
            <w:r w:rsidR="00C66EB3" w:rsidRPr="00683196">
              <w:rPr>
                <w:rFonts w:cstheme="minorHAnsi"/>
                <w:sz w:val="20"/>
                <w:szCs w:val="20"/>
                <w:lang w:val="en-US"/>
              </w:rPr>
              <w:t>a</w:t>
            </w:r>
            <w:r w:rsidRPr="00683196">
              <w:rPr>
                <w:rFonts w:cstheme="minorHAnsi"/>
                <w:sz w:val="20"/>
                <w:szCs w:val="20"/>
                <w:lang w:val="en-US"/>
              </w:rPr>
              <w:t>velumab, like 6 or 12 months, rather than continuing until progression.</w:t>
            </w:r>
          </w:p>
          <w:p w14:paraId="7F68D1FD" w14:textId="77777777" w:rsidR="005B704E" w:rsidRPr="00683196" w:rsidRDefault="005B704E" w:rsidP="00841402">
            <w:pPr>
              <w:ind w:right="-573"/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EE452C" w:rsidRPr="00683196" w14:paraId="7EA67E0C" w14:textId="77777777" w:rsidTr="00683196">
        <w:trPr>
          <w:trHeight w:val="318"/>
        </w:trPr>
        <w:tc>
          <w:tcPr>
            <w:tcW w:w="993" w:type="dxa"/>
          </w:tcPr>
          <w:p w14:paraId="63F6DB86" w14:textId="4B8AF1FE" w:rsidR="005B704E" w:rsidRPr="00683196" w:rsidRDefault="005B704E" w:rsidP="00C92500">
            <w:pPr>
              <w:rPr>
                <w:rFonts w:cstheme="minorHAnsi"/>
                <w:b/>
                <w:bCs/>
              </w:rPr>
            </w:pPr>
            <w:r w:rsidRPr="00683196">
              <w:rPr>
                <w:rFonts w:cstheme="minorHAnsi"/>
                <w:b/>
                <w:bCs/>
              </w:rPr>
              <w:t>Writer/Editor</w:t>
            </w:r>
          </w:p>
        </w:tc>
        <w:tc>
          <w:tcPr>
            <w:tcW w:w="11836" w:type="dxa"/>
          </w:tcPr>
          <w:p w14:paraId="10509666" w14:textId="77777777" w:rsidR="005B704E" w:rsidRPr="00683196" w:rsidRDefault="006A1286" w:rsidP="00C92500">
            <w:pPr>
              <w:ind w:right="-573"/>
              <w:rPr>
                <w:rFonts w:cstheme="minorHAnsi"/>
                <w:lang w:val="en-US"/>
              </w:rPr>
            </w:pPr>
            <w:r w:rsidRPr="00683196">
              <w:rPr>
                <w:rFonts w:cstheme="minorHAnsi"/>
                <w:lang w:val="en-US"/>
              </w:rPr>
              <w:t xml:space="preserve">Prof. </w:t>
            </w:r>
            <w:r w:rsidR="005D525C" w:rsidRPr="00683196">
              <w:rPr>
                <w:rFonts w:cstheme="minorHAnsi"/>
                <w:lang w:val="en-US"/>
              </w:rPr>
              <w:t>Ronald De WIT</w:t>
            </w:r>
            <w:r w:rsidRPr="00683196">
              <w:rPr>
                <w:rFonts w:cstheme="minorHAnsi"/>
                <w:lang w:val="en-US"/>
              </w:rPr>
              <w:t xml:space="preserve">. </w:t>
            </w:r>
            <w:r w:rsidR="005D525C" w:rsidRPr="00683196">
              <w:rPr>
                <w:rFonts w:cstheme="minorHAnsi"/>
                <w:lang w:val="en-US"/>
              </w:rPr>
              <w:t>Erasmus MC Cancer Institute</w:t>
            </w:r>
            <w:r w:rsidR="00C96B5F" w:rsidRPr="00683196">
              <w:rPr>
                <w:rFonts w:cstheme="minorHAnsi"/>
                <w:lang w:val="en-US"/>
              </w:rPr>
              <w:t xml:space="preserve"> -</w:t>
            </w:r>
            <w:r w:rsidRPr="00683196">
              <w:rPr>
                <w:rFonts w:cstheme="minorHAnsi"/>
                <w:lang w:val="en-US"/>
              </w:rPr>
              <w:t xml:space="preserve"> </w:t>
            </w:r>
            <w:r w:rsidR="005D525C" w:rsidRPr="00683196">
              <w:rPr>
                <w:rFonts w:cstheme="minorHAnsi"/>
                <w:lang w:val="en-US"/>
              </w:rPr>
              <w:t>ROTTERDAM</w:t>
            </w:r>
            <w:r w:rsidRPr="00683196">
              <w:rPr>
                <w:rFonts w:cstheme="minorHAnsi"/>
                <w:lang w:val="en-US"/>
              </w:rPr>
              <w:t xml:space="preserve">, </w:t>
            </w:r>
            <w:r w:rsidR="005D525C" w:rsidRPr="00683196">
              <w:rPr>
                <w:rFonts w:cstheme="minorHAnsi"/>
                <w:lang w:val="en-US"/>
              </w:rPr>
              <w:t>The Netherlands</w:t>
            </w:r>
          </w:p>
        </w:tc>
      </w:tr>
    </w:tbl>
    <w:p w14:paraId="543E9F00" w14:textId="77777777" w:rsidR="006A1286" w:rsidRPr="00683196" w:rsidRDefault="006A1286" w:rsidP="00EE452C">
      <w:pPr>
        <w:ind w:left="-567" w:right="-573"/>
        <w:rPr>
          <w:rFonts w:cstheme="minorHAnsi"/>
          <w:b/>
          <w:bCs/>
          <w:vertAlign w:val="superscript"/>
          <w:lang w:val="en-US"/>
        </w:rPr>
      </w:pPr>
    </w:p>
    <w:bookmarkEnd w:id="0"/>
    <w:p w14:paraId="21C75E13" w14:textId="5EA2C695" w:rsidR="00C92500" w:rsidRPr="00683196" w:rsidRDefault="00C92500" w:rsidP="00EE4DC8">
      <w:pPr>
        <w:ind w:left="-567" w:right="-573"/>
        <w:rPr>
          <w:rFonts w:cstheme="minorHAnsi"/>
          <w:lang w:val="en-US"/>
        </w:rPr>
      </w:pPr>
    </w:p>
    <w:p w14:paraId="1C62AF73" w14:textId="77777777" w:rsidR="00683196" w:rsidRPr="00683196" w:rsidRDefault="00683196">
      <w:pPr>
        <w:ind w:left="-567" w:right="-573"/>
        <w:rPr>
          <w:rFonts w:cstheme="minorHAnsi"/>
          <w:lang w:val="en-US"/>
        </w:rPr>
      </w:pPr>
    </w:p>
    <w:sectPr w:rsidR="00683196" w:rsidRPr="00683196" w:rsidSect="006A1286">
      <w:pgSz w:w="11900" w:h="16840"/>
      <w:pgMar w:top="703" w:right="1417" w:bottom="51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2C8"/>
    <w:rsid w:val="00066013"/>
    <w:rsid w:val="000E28BF"/>
    <w:rsid w:val="00277582"/>
    <w:rsid w:val="00290F13"/>
    <w:rsid w:val="002A4653"/>
    <w:rsid w:val="00302462"/>
    <w:rsid w:val="003558EC"/>
    <w:rsid w:val="00380BD6"/>
    <w:rsid w:val="003D1F68"/>
    <w:rsid w:val="005022C8"/>
    <w:rsid w:val="00512D80"/>
    <w:rsid w:val="00595627"/>
    <w:rsid w:val="005B704E"/>
    <w:rsid w:val="005D525C"/>
    <w:rsid w:val="00643E7E"/>
    <w:rsid w:val="00683196"/>
    <w:rsid w:val="006A1286"/>
    <w:rsid w:val="006F0FFA"/>
    <w:rsid w:val="00735A93"/>
    <w:rsid w:val="00787C19"/>
    <w:rsid w:val="00841402"/>
    <w:rsid w:val="009274A8"/>
    <w:rsid w:val="00A40E29"/>
    <w:rsid w:val="00A71879"/>
    <w:rsid w:val="00AE5ABB"/>
    <w:rsid w:val="00B63D1C"/>
    <w:rsid w:val="00B8676B"/>
    <w:rsid w:val="00BA4C7F"/>
    <w:rsid w:val="00BB7CDE"/>
    <w:rsid w:val="00C66EB3"/>
    <w:rsid w:val="00C92500"/>
    <w:rsid w:val="00C96B5F"/>
    <w:rsid w:val="00CF01E3"/>
    <w:rsid w:val="00DF502B"/>
    <w:rsid w:val="00E223E5"/>
    <w:rsid w:val="00E52865"/>
    <w:rsid w:val="00EA4B8D"/>
    <w:rsid w:val="00EE452C"/>
    <w:rsid w:val="00EE4DC8"/>
    <w:rsid w:val="00FC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171C6"/>
  <w14:defaultImageDpi w14:val="32767"/>
  <w15:chartTrackingRefBased/>
  <w15:docId w15:val="{2F1A9EC9-4692-E547-96DB-042CAE84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Tabelraster">
    <w:name w:val="Table Grid"/>
    <w:basedOn w:val="Standaardtabel"/>
    <w:uiPriority w:val="39"/>
    <w:rsid w:val="005022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C9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70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435</Words>
  <Characters>2398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Jean-Marc ALAZARD</dc:creator>
  <cp:keywords/>
  <dc:description/>
  <cp:lastModifiedBy>I K</cp:lastModifiedBy>
  <cp:revision>2</cp:revision>
  <dcterms:created xsi:type="dcterms:W3CDTF">2020-09-22T08:43:00Z</dcterms:created>
  <dcterms:modified xsi:type="dcterms:W3CDTF">2020-09-22T08:43:00Z</dcterms:modified>
</cp:coreProperties>
</file>