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A0BE0" w14:textId="77777777" w:rsidR="0027746D" w:rsidRDefault="00000000">
      <w:pPr>
        <w:pStyle w:val="Ttulo1"/>
      </w:pPr>
      <w:r>
        <w:rPr>
          <w:color w:val="EE0000"/>
        </w:rPr>
        <w:t>🎤 PAUTA DE PRESENTACIÓN ORAL</w:t>
      </w:r>
    </w:p>
    <w:p w14:paraId="5047010B" w14:textId="77777777" w:rsidR="0027746D" w:rsidRDefault="0027746D">
      <w:pPr>
        <w:rPr>
          <w:rFonts w:hint="eastAsia"/>
        </w:rPr>
      </w:pPr>
    </w:p>
    <w:p w14:paraId="4EFFF509" w14:textId="7D6D5BF1" w:rsidR="0027746D" w:rsidRDefault="00000000">
      <w:pPr>
        <w:pStyle w:val="Ttulo3"/>
      </w:pPr>
      <w:r>
        <w:rPr>
          <w:color w:val="0F4761"/>
        </w:rPr>
        <w:t xml:space="preserve">📌 Lámina 1 — PORTADA </w:t>
      </w:r>
    </w:p>
    <w:p w14:paraId="03C16F99" w14:textId="676D312C" w:rsidR="0027746D" w:rsidRDefault="00000000" w:rsidP="00AA5CE2">
      <w:pPr>
        <w:ind w:left="720"/>
        <w:rPr>
          <w:rFonts w:hint="eastAsia"/>
        </w:rPr>
      </w:pPr>
      <w:r>
        <w:rPr>
          <w:i/>
          <w:color w:val="555555"/>
        </w:rPr>
        <w:t xml:space="preserve">"Buenos días. Somos [nombre I1] y [nombre I2], y presentamos nuestro análisis de minería de datos sobre las compras públicas del MOP y MINVU/SERVIU en la plataforma Mercado Público durante el bienio 2018–2019. El objetivo central es determinar si el presupuesto de inversión se correlaciona con el volumen de compras digitalizadas, e identificar alertas accionables para la </w:t>
      </w:r>
      <w:proofErr w:type="spellStart"/>
      <w:r>
        <w:rPr>
          <w:i/>
          <w:color w:val="555555"/>
        </w:rPr>
        <w:t>gestión</w:t>
      </w:r>
      <w:proofErr w:type="spellEnd"/>
      <w:r>
        <w:rPr>
          <w:i/>
          <w:color w:val="555555"/>
        </w:rPr>
        <w:t xml:space="preserve"> </w:t>
      </w:r>
      <w:proofErr w:type="spellStart"/>
      <w:r>
        <w:rPr>
          <w:i/>
          <w:color w:val="555555"/>
        </w:rPr>
        <w:t>pública</w:t>
      </w:r>
      <w:proofErr w:type="spellEnd"/>
      <w:r>
        <w:rPr>
          <w:i/>
          <w:color w:val="555555"/>
        </w:rPr>
        <w:t>."</w:t>
      </w:r>
    </w:p>
    <w:p w14:paraId="549FAAC6" w14:textId="6304524E" w:rsidR="0027746D" w:rsidRDefault="00000000">
      <w:pPr>
        <w:rPr>
          <w:rFonts w:hint="eastAsia"/>
        </w:rPr>
      </w:pPr>
      <w:r>
        <w:t>________________________________________________________</w:t>
      </w:r>
    </w:p>
    <w:p w14:paraId="3B72E577" w14:textId="391EC417"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2 — KPIs EJECUTIVOS</w:t>
      </w:r>
    </w:p>
    <w:p w14:paraId="5C92F9F0" w14:textId="734D39E5" w:rsidR="0027746D" w:rsidRDefault="00000000" w:rsidP="00AA5CE2">
      <w:pPr>
        <w:ind w:left="720"/>
        <w:rPr>
          <w:rFonts w:hint="eastAsia"/>
        </w:rPr>
      </w:pPr>
      <w:r>
        <w:rPr>
          <w:i/>
          <w:color w:val="555555"/>
        </w:rPr>
        <w:t xml:space="preserve">"Para contextualizar la magnitud del análisis, presentamos los KPIs principales. Se procesaron 93.207 órdenes de compra de 6.010 proveedores únicos, con un monto total transado de 545.166 millones de pesos. Esto representa solo el 17,2% del gasto institucional total, lo que ya nos da una primera señal: hay un amplio margen para mejorar la trazabilidad digital. Destaca también que el 28,7% del monto se canalizó vía Trato Directo, modalidad que exploraremos más adelante </w:t>
      </w:r>
      <w:proofErr w:type="spellStart"/>
      <w:r>
        <w:rPr>
          <w:i/>
          <w:color w:val="555555"/>
        </w:rPr>
        <w:t>como</w:t>
      </w:r>
      <w:proofErr w:type="spellEnd"/>
      <w:r>
        <w:rPr>
          <w:i/>
          <w:color w:val="555555"/>
        </w:rPr>
        <w:t xml:space="preserve"> </w:t>
      </w:r>
      <w:proofErr w:type="spellStart"/>
      <w:r>
        <w:rPr>
          <w:i/>
          <w:color w:val="555555"/>
        </w:rPr>
        <w:t>alerta</w:t>
      </w:r>
      <w:proofErr w:type="spellEnd"/>
      <w:r>
        <w:rPr>
          <w:i/>
          <w:color w:val="555555"/>
        </w:rPr>
        <w:t xml:space="preserve"> de </w:t>
      </w:r>
      <w:proofErr w:type="spellStart"/>
      <w:r>
        <w:rPr>
          <w:i/>
          <w:color w:val="555555"/>
        </w:rPr>
        <w:t>gestión</w:t>
      </w:r>
      <w:proofErr w:type="spellEnd"/>
      <w:r>
        <w:rPr>
          <w:i/>
          <w:color w:val="555555"/>
        </w:rPr>
        <w:t>."</w:t>
      </w:r>
    </w:p>
    <w:p w14:paraId="333E09E3" w14:textId="1BC1C271" w:rsidR="0027746D" w:rsidRDefault="00000000">
      <w:pPr>
        <w:rPr>
          <w:rFonts w:hint="eastAsia"/>
        </w:rPr>
      </w:pPr>
      <w:r>
        <w:rPr>
          <w:b/>
        </w:rPr>
        <w:t>Señalar:</w:t>
      </w:r>
      <w:r>
        <w:t xml:space="preserve"> la tabla de KPIs </w:t>
      </w:r>
      <w:proofErr w:type="spellStart"/>
      <w:r>
        <w:t>que</w:t>
      </w:r>
      <w:proofErr w:type="spellEnd"/>
      <w:r>
        <w:t xml:space="preserve"> </w:t>
      </w:r>
      <w:proofErr w:type="spellStart"/>
      <w:r>
        <w:t>aparece</w:t>
      </w:r>
      <w:proofErr w:type="spellEnd"/>
      <w:r>
        <w:t xml:space="preserve"> </w:t>
      </w:r>
      <w:proofErr w:type="spellStart"/>
      <w:r>
        <w:t>en</w:t>
      </w:r>
      <w:proofErr w:type="spellEnd"/>
      <w:r>
        <w:t xml:space="preserve"> </w:t>
      </w:r>
      <w:proofErr w:type="spellStart"/>
      <w:r>
        <w:t>pantalla</w:t>
      </w:r>
      <w:proofErr w:type="spellEnd"/>
      <w:r>
        <w:t>.</w:t>
      </w:r>
    </w:p>
    <w:p w14:paraId="2FBDB563" w14:textId="347C331E" w:rsidR="0027746D" w:rsidRDefault="00000000">
      <w:pPr>
        <w:rPr>
          <w:rFonts w:hint="eastAsia"/>
        </w:rPr>
      </w:pPr>
      <w:r>
        <w:t>________________________________________________________</w:t>
      </w:r>
    </w:p>
    <w:p w14:paraId="20F7E57E" w14:textId="37D654B3"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3 — FUENTES Y PIPELINE *(~90 </w:t>
      </w:r>
      <w:proofErr w:type="gramStart"/>
      <w:r>
        <w:rPr>
          <w:color w:val="0F4761"/>
        </w:rPr>
        <w:t>seg)*</w:t>
      </w:r>
      <w:proofErr w:type="gramEnd"/>
    </w:p>
    <w:p w14:paraId="612BDE00" w14:textId="77777777" w:rsidR="0027746D" w:rsidRDefault="00000000">
      <w:pPr>
        <w:ind w:left="720"/>
        <w:rPr>
          <w:rFonts w:hint="eastAsia"/>
        </w:rPr>
      </w:pPr>
      <w:r>
        <w:rPr>
          <w:i/>
          <w:color w:val="555555"/>
        </w:rPr>
        <w:t>"Los datos provienen de dos fuentes abiertas: MercadoPublico.cl, de donde descargamos los CSVs de órdenes de compra por tipo —Licitación, Trato Directo y Convenio Marco—, y el portal de Transparencia Activa del MOP, que nos entregó la ejecución presupuestaria por proyecto BIP en formato Excel."</w:t>
      </w:r>
    </w:p>
    <w:p w14:paraId="6AF08DEC" w14:textId="77777777" w:rsidR="0027746D" w:rsidRDefault="0027746D">
      <w:pPr>
        <w:rPr>
          <w:rFonts w:hint="eastAsia"/>
        </w:rPr>
      </w:pPr>
    </w:p>
    <w:p w14:paraId="29819477" w14:textId="77777777" w:rsidR="0027746D" w:rsidRDefault="00000000">
      <w:pPr>
        <w:ind w:left="720"/>
        <w:rPr>
          <w:rFonts w:hint="eastAsia"/>
        </w:rPr>
      </w:pPr>
      <w:r>
        <w:rPr>
          <w:i/>
          <w:color w:val="555555"/>
        </w:rPr>
        <w:t>"Para garantizar reproducibilidad completa, construimos un pipeline en Python de tres pasos: primero unificamos todos los CSVs crudos con el script 01; luego cruzamos con el presupuesto MOP por código BIP en el script 02; y finalmente generamos todas las tablas analíticas con el script 03. Cualquier persona puede replicar el análisis ejecutando estos tres scripts en orden."</w:t>
      </w:r>
    </w:p>
    <w:p w14:paraId="6B296B46" w14:textId="77777777" w:rsidR="0027746D" w:rsidRDefault="0027746D">
      <w:pPr>
        <w:rPr>
          <w:rFonts w:hint="eastAsia"/>
        </w:rPr>
      </w:pPr>
    </w:p>
    <w:p w14:paraId="2F0558AA" w14:textId="77777777" w:rsidR="0027746D" w:rsidRDefault="00000000">
      <w:pPr>
        <w:rPr>
          <w:rFonts w:hint="eastAsia"/>
        </w:rPr>
      </w:pPr>
      <w:r>
        <w:t>________________________________________________________</w:t>
      </w:r>
    </w:p>
    <w:p w14:paraId="7B272B86" w14:textId="77777777" w:rsidR="0027746D" w:rsidRDefault="0027746D">
      <w:pPr>
        <w:rPr>
          <w:rFonts w:hint="eastAsia"/>
        </w:rPr>
      </w:pPr>
    </w:p>
    <w:p w14:paraId="688BE68B" w14:textId="74B30604" w:rsidR="0027746D" w:rsidRDefault="00000000" w:rsidP="00AA5CE2">
      <w:pPr>
        <w:pStyle w:val="Ttulo3"/>
        <w:rPr>
          <w:rFonts w:hint="eastAsia"/>
        </w:rPr>
      </w:pPr>
      <w:r>
        <w:rPr>
          <w:rFonts w:ascii="Segoe UI Emoji" w:hAnsi="Segoe UI Emoji" w:cs="Segoe UI Emoji"/>
          <w:color w:val="0F4761"/>
        </w:rPr>
        <w:lastRenderedPageBreak/>
        <w:t>📌</w:t>
      </w:r>
      <w:r>
        <w:rPr>
          <w:color w:val="0F4761"/>
        </w:rPr>
        <w:t xml:space="preserve"> Lámina 4 — LIMPIEZA Y VARIABLES DERIVADAS *(~90 </w:t>
      </w:r>
      <w:proofErr w:type="gramStart"/>
      <w:r>
        <w:rPr>
          <w:color w:val="0F4761"/>
        </w:rPr>
        <w:t>seg)*</w:t>
      </w:r>
      <w:proofErr w:type="gramEnd"/>
    </w:p>
    <w:p w14:paraId="5A185775" w14:textId="77777777" w:rsidR="0027746D" w:rsidRDefault="00000000">
      <w:pPr>
        <w:ind w:left="720"/>
        <w:rPr>
          <w:rFonts w:hint="eastAsia"/>
        </w:rPr>
      </w:pPr>
      <w:r>
        <w:rPr>
          <w:i/>
          <w:color w:val="555555"/>
        </w:rPr>
        <w:t>"Es importante destacar que **los datos originales que descargamos no estaban limpios**. Venían con montos negativos, nulos y problemas de formato. Sin embargo, en lugar de modificar los Excel a mano, implementamos un *Pipeline Reproducible* mediante código."</w:t>
      </w:r>
    </w:p>
    <w:p w14:paraId="72E01218" w14:textId="77777777" w:rsidR="0027746D" w:rsidRDefault="0027746D">
      <w:pPr>
        <w:rPr>
          <w:rFonts w:hint="eastAsia"/>
        </w:rPr>
      </w:pPr>
    </w:p>
    <w:p w14:paraId="749502C1" w14:textId="739F56FF" w:rsidR="0027746D" w:rsidRDefault="00000000" w:rsidP="00AA5CE2">
      <w:pPr>
        <w:ind w:left="720"/>
        <w:rPr>
          <w:rFonts w:hint="eastAsia"/>
        </w:rPr>
      </w:pPr>
      <w:r>
        <w:rPr>
          <w:i/>
          <w:color w:val="555555"/>
        </w:rPr>
        <w:t xml:space="preserve">"Como se ve en la Tabla 6, las reglas de limpieza se aplican mediante los scripts de Python: eliminamos errores de carga y rellenamos valores nulos (como asignar '-1' o '0' a ítems sin clasificación) para no perder observaciones. Esto garantiza que nuestro proceso sea 100% </w:t>
      </w:r>
      <w:proofErr w:type="spellStart"/>
      <w:r>
        <w:rPr>
          <w:i/>
          <w:color w:val="555555"/>
        </w:rPr>
        <w:t>trazable</w:t>
      </w:r>
      <w:proofErr w:type="spellEnd"/>
      <w:r>
        <w:rPr>
          <w:i/>
          <w:color w:val="555555"/>
        </w:rPr>
        <w:t xml:space="preserve"> y auditable."</w:t>
      </w:r>
    </w:p>
    <w:p w14:paraId="396FFECB" w14:textId="12FAC32A" w:rsidR="0027746D" w:rsidRDefault="00000000" w:rsidP="00AA5CE2">
      <w:pPr>
        <w:ind w:left="720"/>
        <w:rPr>
          <w:rFonts w:hint="eastAsia"/>
        </w:rPr>
      </w:pPr>
      <w:r>
        <w:rPr>
          <w:i/>
          <w:color w:val="555555"/>
        </w:rPr>
        <w:t xml:space="preserve">"Además creamos seis variables derivadas, como el monto en millones, el trimestre para ver la estacionalidad, y la variable *TieneBIP* para identificar rápidamente qué compras están vinculadas a </w:t>
      </w:r>
      <w:proofErr w:type="spellStart"/>
      <w:r>
        <w:rPr>
          <w:i/>
          <w:color w:val="555555"/>
        </w:rPr>
        <w:t>proyectos</w:t>
      </w:r>
      <w:proofErr w:type="spellEnd"/>
      <w:r>
        <w:rPr>
          <w:i/>
          <w:color w:val="555555"/>
        </w:rPr>
        <w:t xml:space="preserve"> de </w:t>
      </w:r>
      <w:proofErr w:type="spellStart"/>
      <w:r>
        <w:rPr>
          <w:i/>
          <w:color w:val="555555"/>
        </w:rPr>
        <w:t>inversión</w:t>
      </w:r>
      <w:proofErr w:type="spellEnd"/>
      <w:r>
        <w:rPr>
          <w:i/>
          <w:color w:val="555555"/>
        </w:rPr>
        <w:t>."</w:t>
      </w:r>
    </w:p>
    <w:p w14:paraId="30E3DBC7" w14:textId="391DD18A" w:rsidR="0027746D" w:rsidRDefault="00000000">
      <w:pPr>
        <w:rPr>
          <w:rFonts w:hint="eastAsia"/>
        </w:rPr>
      </w:pPr>
      <w:r>
        <w:t>________________________________________________________</w:t>
      </w:r>
    </w:p>
    <w:p w14:paraId="6961BB11" w14:textId="6E6040E5"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5 — TABLA A: REGIÓN × AÑO × MODALIDAD </w:t>
      </w:r>
    </w:p>
    <w:p w14:paraId="26BBDC47" w14:textId="75A6D52A" w:rsidR="0027746D" w:rsidRDefault="00000000" w:rsidP="00AA5CE2">
      <w:pPr>
        <w:ind w:left="720"/>
        <w:rPr>
          <w:rFonts w:hint="eastAsia"/>
        </w:rPr>
      </w:pPr>
      <w:r>
        <w:rPr>
          <w:i/>
          <w:color w:val="555555"/>
        </w:rPr>
        <w:t xml:space="preserve">"La primera tabla analítica cruza región, año y modalidad de compra. Nos permite ver qué regiones concentran mayor uso de Trato Directo o Convenio Marco, y cómo cambia el ticket medio entre 2018 y 2019. Es la base para identificar heterogeneidades territoriales </w:t>
      </w:r>
      <w:proofErr w:type="spellStart"/>
      <w:r>
        <w:rPr>
          <w:i/>
          <w:color w:val="555555"/>
        </w:rPr>
        <w:t>en</w:t>
      </w:r>
      <w:proofErr w:type="spellEnd"/>
      <w:r>
        <w:rPr>
          <w:i/>
          <w:color w:val="555555"/>
        </w:rPr>
        <w:t xml:space="preserve"> las </w:t>
      </w:r>
      <w:proofErr w:type="spellStart"/>
      <w:r>
        <w:rPr>
          <w:i/>
          <w:color w:val="555555"/>
        </w:rPr>
        <w:t>adquisiciones</w:t>
      </w:r>
      <w:proofErr w:type="spellEnd"/>
      <w:r>
        <w:rPr>
          <w:i/>
          <w:color w:val="555555"/>
        </w:rPr>
        <w:t xml:space="preserve"> </w:t>
      </w:r>
      <w:proofErr w:type="spellStart"/>
      <w:r>
        <w:rPr>
          <w:i/>
          <w:color w:val="555555"/>
        </w:rPr>
        <w:t>públicas</w:t>
      </w:r>
      <w:proofErr w:type="spellEnd"/>
      <w:r>
        <w:rPr>
          <w:i/>
          <w:color w:val="555555"/>
        </w:rPr>
        <w:t>."</w:t>
      </w:r>
    </w:p>
    <w:p w14:paraId="29CBEFB4" w14:textId="7DA6736B" w:rsidR="0027746D" w:rsidRDefault="00000000">
      <w:pPr>
        <w:rPr>
          <w:rFonts w:hint="eastAsia"/>
        </w:rPr>
      </w:pPr>
      <w:r>
        <w:t>________________________________________________________</w:t>
      </w:r>
    </w:p>
    <w:p w14:paraId="35024EC9" w14:textId="3D6708FE"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6 — TABLA B: PERFIL DE PROVEEDORES </w:t>
      </w:r>
    </w:p>
    <w:p w14:paraId="5F35BD23" w14:textId="34D0D855" w:rsidR="0027746D" w:rsidRDefault="00000000" w:rsidP="00AA5CE2">
      <w:pPr>
        <w:ind w:left="720"/>
        <w:rPr>
          <w:rFonts w:hint="eastAsia"/>
        </w:rPr>
      </w:pPr>
      <w:r>
        <w:rPr>
          <w:i/>
          <w:color w:val="555555"/>
        </w:rPr>
        <w:t xml:space="preserve">"La Tabla B construye el perfil de cada proveedor: número de OC, regiones y servicios en que opera, y ticket medio. Esto permite detectar concentración de mercado: si uno o dos proveedores concentran el grueso del gasto de un servicio, eso es un riesgo de dependencia que debe alertar a </w:t>
      </w:r>
      <w:proofErr w:type="spellStart"/>
      <w:r>
        <w:rPr>
          <w:i/>
          <w:color w:val="555555"/>
        </w:rPr>
        <w:t>los</w:t>
      </w:r>
      <w:proofErr w:type="spellEnd"/>
      <w:r>
        <w:rPr>
          <w:i/>
          <w:color w:val="555555"/>
        </w:rPr>
        <w:t xml:space="preserve"> </w:t>
      </w:r>
      <w:proofErr w:type="spellStart"/>
      <w:r>
        <w:rPr>
          <w:i/>
          <w:color w:val="555555"/>
        </w:rPr>
        <w:t>directivos</w:t>
      </w:r>
      <w:proofErr w:type="spellEnd"/>
      <w:r>
        <w:rPr>
          <w:i/>
          <w:color w:val="555555"/>
        </w:rPr>
        <w:t xml:space="preserve"> de </w:t>
      </w:r>
      <w:proofErr w:type="spellStart"/>
      <w:r>
        <w:rPr>
          <w:i/>
          <w:color w:val="555555"/>
        </w:rPr>
        <w:t>adquisiciones</w:t>
      </w:r>
      <w:proofErr w:type="spellEnd"/>
      <w:r>
        <w:rPr>
          <w:i/>
          <w:color w:val="555555"/>
        </w:rPr>
        <w:t>."</w:t>
      </w:r>
    </w:p>
    <w:p w14:paraId="10B199C1" w14:textId="4B080979" w:rsidR="0027746D" w:rsidRDefault="00000000">
      <w:pPr>
        <w:rPr>
          <w:rFonts w:hint="eastAsia"/>
        </w:rPr>
      </w:pPr>
      <w:r>
        <w:t>________________________________________________________</w:t>
      </w:r>
    </w:p>
    <w:p w14:paraId="0950BEAB" w14:textId="0E604392"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7 — TABLA C: ESTACIONALIDAD *(~60 </w:t>
      </w:r>
      <w:proofErr w:type="gramStart"/>
      <w:r>
        <w:rPr>
          <w:color w:val="0F4761"/>
        </w:rPr>
        <w:t>seg)*</w:t>
      </w:r>
      <w:proofErr w:type="gramEnd"/>
    </w:p>
    <w:p w14:paraId="57DC0AF1" w14:textId="1E0CFF00" w:rsidR="0027746D" w:rsidRDefault="00000000" w:rsidP="00AA5CE2">
      <w:pPr>
        <w:ind w:left="720"/>
        <w:rPr>
          <w:rFonts w:hint="eastAsia"/>
        </w:rPr>
      </w:pPr>
      <w:r>
        <w:rPr>
          <w:i/>
          <w:color w:val="555555"/>
        </w:rPr>
        <w:t xml:space="preserve">"La Tabla C muestra la distribución mensual de compras. El patrón es claro: hay una concentración fuerte al final del año —octubre, noviembre y diciembre— que en conjunto explica el 36,6% del gasto total. Esta concentración en el Q4 es una alerta operacional: presiona los plazos de entrega y puede incentivar el uso de </w:t>
      </w:r>
      <w:proofErr w:type="spellStart"/>
      <w:r>
        <w:rPr>
          <w:i/>
          <w:color w:val="555555"/>
        </w:rPr>
        <w:t>Trato</w:t>
      </w:r>
      <w:proofErr w:type="spellEnd"/>
      <w:r>
        <w:rPr>
          <w:i/>
          <w:color w:val="555555"/>
        </w:rPr>
        <w:t xml:space="preserve"> Directo </w:t>
      </w:r>
      <w:proofErr w:type="spellStart"/>
      <w:r>
        <w:rPr>
          <w:i/>
          <w:color w:val="555555"/>
        </w:rPr>
        <w:t>por</w:t>
      </w:r>
      <w:proofErr w:type="spellEnd"/>
      <w:r>
        <w:rPr>
          <w:i/>
          <w:color w:val="555555"/>
        </w:rPr>
        <w:t xml:space="preserve"> </w:t>
      </w:r>
      <w:proofErr w:type="spellStart"/>
      <w:r>
        <w:rPr>
          <w:i/>
          <w:color w:val="555555"/>
        </w:rPr>
        <w:t>urgencia</w:t>
      </w:r>
      <w:proofErr w:type="spellEnd"/>
      <w:r>
        <w:rPr>
          <w:i/>
          <w:color w:val="555555"/>
        </w:rPr>
        <w:t>."</w:t>
      </w:r>
    </w:p>
    <w:p w14:paraId="2730D1EE" w14:textId="29804D46" w:rsidR="0027746D" w:rsidRDefault="00000000">
      <w:pPr>
        <w:rPr>
          <w:rFonts w:hint="eastAsia"/>
        </w:rPr>
      </w:pPr>
      <w:r>
        <w:t>________________________________________________________</w:t>
      </w:r>
    </w:p>
    <w:p w14:paraId="2A53D20C" w14:textId="3A214BC6" w:rsidR="0027746D" w:rsidRDefault="00000000" w:rsidP="00AA5CE2">
      <w:pPr>
        <w:pStyle w:val="Ttulo3"/>
        <w:rPr>
          <w:rFonts w:hint="eastAsia"/>
        </w:rPr>
      </w:pPr>
      <w:r>
        <w:rPr>
          <w:rFonts w:ascii="Segoe UI Emoji" w:hAnsi="Segoe UI Emoji" w:cs="Segoe UI Emoji"/>
          <w:color w:val="0F4761"/>
        </w:rPr>
        <w:lastRenderedPageBreak/>
        <w:t>📌</w:t>
      </w:r>
      <w:r>
        <w:rPr>
          <w:color w:val="0F4761"/>
        </w:rPr>
        <w:t xml:space="preserve"> Lámina 8 — TABLAS D y E *(~60 </w:t>
      </w:r>
      <w:proofErr w:type="gramStart"/>
      <w:r>
        <w:rPr>
          <w:color w:val="0F4761"/>
        </w:rPr>
        <w:t>seg)*</w:t>
      </w:r>
      <w:proofErr w:type="gramEnd"/>
    </w:p>
    <w:p w14:paraId="66693745" w14:textId="2A64C080" w:rsidR="0027746D" w:rsidRDefault="00000000" w:rsidP="00AA5CE2">
      <w:pPr>
        <w:ind w:left="720"/>
        <w:rPr>
          <w:rFonts w:hint="eastAsia"/>
        </w:rPr>
      </w:pPr>
      <w:r>
        <w:rPr>
          <w:i/>
          <w:color w:val="555555"/>
        </w:rPr>
        <w:t>"La Tabla D cruza proyectos BIP con compras. Solo el 7,9% de los ítems tiene código BIP asociado, lo que limita la trazabilidad de la inversión pública. La Tabla E anticipa la alerta que desarrollará mi compañero: el porcentaje de OC vía Trato Directo por servicio, donde varios superan el umbral del 20%."</w:t>
      </w:r>
    </w:p>
    <w:p w14:paraId="2C598E3C" w14:textId="7639B29B" w:rsidR="0027746D" w:rsidRDefault="00000000">
      <w:pPr>
        <w:rPr>
          <w:rFonts w:hint="eastAsia"/>
        </w:rPr>
      </w:pPr>
      <w:r>
        <w:t>________________________________________________________</w:t>
      </w:r>
    </w:p>
    <w:p w14:paraId="0F7D28A5" w14:textId="10065251"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9 — ALERTA TRATO DIRECTO</w:t>
      </w:r>
    </w:p>
    <w:p w14:paraId="6F4AE90C" w14:textId="109C0E0B" w:rsidR="0027746D" w:rsidRDefault="00000000" w:rsidP="00AA5CE2">
      <w:pPr>
        <w:ind w:left="720"/>
        <w:rPr>
          <w:rFonts w:hint="eastAsia"/>
        </w:rPr>
      </w:pPr>
      <w:r>
        <w:rPr>
          <w:i/>
          <w:color w:val="555555"/>
        </w:rPr>
        <w:t xml:space="preserve">"Como pueden ver en el gráfico, los servicios en rojo superan el umbral de fiscalización del 20% de órdenes vía Trato Directo. Esta modalidad es válida para urgencia o proveedor único, pero cuando representa sistemáticamente más de un quinto de las compras, es una señal de riesgo que merece revisión por Contraloría. Esto no implica irregularidades, pero sí indica que parte del gasto podría no estar </w:t>
      </w:r>
      <w:proofErr w:type="spellStart"/>
      <w:r>
        <w:rPr>
          <w:i/>
          <w:color w:val="555555"/>
        </w:rPr>
        <w:t>pasando</w:t>
      </w:r>
      <w:proofErr w:type="spellEnd"/>
      <w:r>
        <w:rPr>
          <w:i/>
          <w:color w:val="555555"/>
        </w:rPr>
        <w:t xml:space="preserve"> </w:t>
      </w:r>
      <w:proofErr w:type="spellStart"/>
      <w:r>
        <w:rPr>
          <w:i/>
          <w:color w:val="555555"/>
        </w:rPr>
        <w:t>por</w:t>
      </w:r>
      <w:proofErr w:type="spellEnd"/>
      <w:r>
        <w:rPr>
          <w:i/>
          <w:color w:val="555555"/>
        </w:rPr>
        <w:t xml:space="preserve"> </w:t>
      </w:r>
      <w:proofErr w:type="spellStart"/>
      <w:r>
        <w:rPr>
          <w:i/>
          <w:color w:val="555555"/>
        </w:rPr>
        <w:t>procesos</w:t>
      </w:r>
      <w:proofErr w:type="spellEnd"/>
      <w:r>
        <w:rPr>
          <w:i/>
          <w:color w:val="555555"/>
        </w:rPr>
        <w:t xml:space="preserve"> </w:t>
      </w:r>
      <w:proofErr w:type="spellStart"/>
      <w:r>
        <w:rPr>
          <w:i/>
          <w:color w:val="555555"/>
        </w:rPr>
        <w:t>competitivos</w:t>
      </w:r>
      <w:proofErr w:type="spellEnd"/>
      <w:r>
        <w:rPr>
          <w:i/>
          <w:color w:val="555555"/>
        </w:rPr>
        <w:t>."</w:t>
      </w:r>
    </w:p>
    <w:p w14:paraId="267B6BB0" w14:textId="5D90A1CD" w:rsidR="0027746D" w:rsidRDefault="00000000">
      <w:pPr>
        <w:rPr>
          <w:rFonts w:hint="eastAsia"/>
        </w:rPr>
      </w:pPr>
      <w:r>
        <w:rPr>
          <w:b/>
        </w:rPr>
        <w:t>Señalar:</w:t>
      </w:r>
      <w:r>
        <w:t xml:space="preserve"> los servicios </w:t>
      </w:r>
      <w:proofErr w:type="spellStart"/>
      <w:r>
        <w:t>en</w:t>
      </w:r>
      <w:proofErr w:type="spellEnd"/>
      <w:r>
        <w:t xml:space="preserve"> rojo del </w:t>
      </w:r>
      <w:proofErr w:type="spellStart"/>
      <w:r>
        <w:t>gráfico</w:t>
      </w:r>
      <w:proofErr w:type="spellEnd"/>
      <w:r>
        <w:t>.</w:t>
      </w:r>
    </w:p>
    <w:p w14:paraId="71EF1CAE" w14:textId="4DD363EF" w:rsidR="0027746D" w:rsidRDefault="00000000">
      <w:pPr>
        <w:rPr>
          <w:rFonts w:hint="eastAsia"/>
        </w:rPr>
      </w:pPr>
      <w:r>
        <w:t>________________________________________________________</w:t>
      </w:r>
    </w:p>
    <w:p w14:paraId="47DAC1E2" w14:textId="027759E0"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10 — MODELO LOG-LOG </w:t>
      </w:r>
    </w:p>
    <w:p w14:paraId="2E4CC9C7" w14:textId="77777777" w:rsidR="0027746D" w:rsidRDefault="00000000">
      <w:pPr>
        <w:ind w:left="720"/>
        <w:rPr>
          <w:rFonts w:hint="eastAsia"/>
        </w:rPr>
      </w:pPr>
      <w:r>
        <w:rPr>
          <w:i/>
          <w:color w:val="555555"/>
        </w:rPr>
        <w:t>"Para modelar la relación entre presupuesto y compras, seleccionamos la regresión log-log. Esta técnica es apropiada porque el parámetro β₁ se interpreta directamente como elasticidad: cuánto cambia el logaritmo de compras ante un 1% de cambio en el gasto."</w:t>
      </w:r>
    </w:p>
    <w:p w14:paraId="52E5A67E" w14:textId="77777777" w:rsidR="0027746D" w:rsidRDefault="0027746D">
      <w:pPr>
        <w:rPr>
          <w:rFonts w:hint="eastAsia"/>
        </w:rPr>
      </w:pPr>
    </w:p>
    <w:p w14:paraId="2741FE19" w14:textId="4B503F73" w:rsidR="0027746D" w:rsidRDefault="00000000" w:rsidP="00AA5CE2">
      <w:pPr>
        <w:ind w:left="720"/>
        <w:rPr>
          <w:rFonts w:hint="eastAsia"/>
        </w:rPr>
      </w:pPr>
      <w:r>
        <w:rPr>
          <w:i/>
          <w:color w:val="555555"/>
        </w:rPr>
        <w:t xml:space="preserve">"Ajustamos cuatro modelos con distintos niveles de agregación: proyecto BIP, región por servicio para compras totales, compras de inversión subtítulo 31, y nivel regional </w:t>
      </w:r>
      <w:proofErr w:type="spellStart"/>
      <w:r>
        <w:rPr>
          <w:i/>
          <w:color w:val="555555"/>
        </w:rPr>
        <w:t>por</w:t>
      </w:r>
      <w:proofErr w:type="spellEnd"/>
      <w:r>
        <w:rPr>
          <w:i/>
          <w:color w:val="555555"/>
        </w:rPr>
        <w:t xml:space="preserve"> </w:t>
      </w:r>
      <w:proofErr w:type="spellStart"/>
      <w:r>
        <w:rPr>
          <w:i/>
          <w:color w:val="555555"/>
        </w:rPr>
        <w:t>número</w:t>
      </w:r>
      <w:proofErr w:type="spellEnd"/>
      <w:r>
        <w:rPr>
          <w:i/>
          <w:color w:val="555555"/>
        </w:rPr>
        <w:t xml:space="preserve"> de OC."</w:t>
      </w:r>
    </w:p>
    <w:p w14:paraId="7027230E" w14:textId="37BF91FC" w:rsidR="0027746D" w:rsidRDefault="00000000" w:rsidP="00AA5CE2">
      <w:pPr>
        <w:ind w:left="720"/>
        <w:rPr>
          <w:rFonts w:hint="eastAsia"/>
        </w:rPr>
      </w:pPr>
      <w:r>
        <w:rPr>
          <w:i/>
          <w:color w:val="555555"/>
        </w:rPr>
        <w:t xml:space="preserve">"Todos los modelos arrojan β₁ menor a uno: relación inelástica. Un 10% de aumento en presupuesto se asocia con apenas un 5,5% de aumento en compras. Todos son significativos con p menor a 0,001, usando errores HC1 para </w:t>
      </w:r>
      <w:proofErr w:type="spellStart"/>
      <w:r>
        <w:rPr>
          <w:i/>
          <w:color w:val="555555"/>
        </w:rPr>
        <w:t>corregir</w:t>
      </w:r>
      <w:proofErr w:type="spellEnd"/>
      <w:r>
        <w:rPr>
          <w:i/>
          <w:color w:val="555555"/>
        </w:rPr>
        <w:t xml:space="preserve"> la </w:t>
      </w:r>
      <w:proofErr w:type="spellStart"/>
      <w:r>
        <w:rPr>
          <w:i/>
          <w:color w:val="555555"/>
        </w:rPr>
        <w:t>heterocedasticidad</w:t>
      </w:r>
      <w:proofErr w:type="spellEnd"/>
      <w:r>
        <w:rPr>
          <w:i/>
          <w:color w:val="555555"/>
        </w:rPr>
        <w:t xml:space="preserve"> </w:t>
      </w:r>
      <w:proofErr w:type="spellStart"/>
      <w:r>
        <w:rPr>
          <w:i/>
          <w:color w:val="555555"/>
        </w:rPr>
        <w:t>detectada</w:t>
      </w:r>
      <w:proofErr w:type="spellEnd"/>
      <w:r>
        <w:rPr>
          <w:i/>
          <w:color w:val="555555"/>
        </w:rPr>
        <w:t>."</w:t>
      </w:r>
    </w:p>
    <w:p w14:paraId="3D545EA2" w14:textId="609EF385" w:rsidR="0027746D" w:rsidRDefault="00000000" w:rsidP="00AA5CE2">
      <w:pPr>
        <w:ind w:left="720"/>
        <w:rPr>
          <w:rFonts w:hint="eastAsia"/>
        </w:rPr>
      </w:pPr>
      <w:r>
        <w:rPr>
          <w:i/>
          <w:color w:val="555555"/>
        </w:rPr>
        <w:t xml:space="preserve">"Usamos Python con statsmodels, completamente reproducible </w:t>
      </w:r>
      <w:proofErr w:type="spellStart"/>
      <w:r>
        <w:rPr>
          <w:i/>
          <w:color w:val="555555"/>
        </w:rPr>
        <w:t>desde</w:t>
      </w:r>
      <w:proofErr w:type="spellEnd"/>
      <w:r>
        <w:rPr>
          <w:i/>
          <w:color w:val="555555"/>
        </w:rPr>
        <w:t xml:space="preserve"> el notebook 04."</w:t>
      </w:r>
    </w:p>
    <w:p w14:paraId="68BF481D" w14:textId="77777777" w:rsidR="0027746D" w:rsidRDefault="00000000">
      <w:pPr>
        <w:rPr>
          <w:rFonts w:hint="eastAsia"/>
        </w:rPr>
      </w:pPr>
      <w:r>
        <w:t>________________________________________________________</w:t>
      </w:r>
    </w:p>
    <w:p w14:paraId="0D3E6385" w14:textId="77777777" w:rsidR="0027746D" w:rsidRDefault="0027746D"/>
    <w:p w14:paraId="5960465D" w14:textId="77777777" w:rsidR="00AA5CE2" w:rsidRDefault="00AA5CE2">
      <w:pPr>
        <w:rPr>
          <w:rFonts w:hint="eastAsia"/>
        </w:rPr>
      </w:pPr>
    </w:p>
    <w:p w14:paraId="5E7E3836" w14:textId="5D7838E6" w:rsidR="0027746D" w:rsidRDefault="00000000" w:rsidP="00AA5CE2">
      <w:pPr>
        <w:pStyle w:val="Ttulo3"/>
        <w:rPr>
          <w:rFonts w:hint="eastAsia"/>
        </w:rPr>
      </w:pPr>
      <w:r>
        <w:rPr>
          <w:rFonts w:ascii="Segoe UI Emoji" w:hAnsi="Segoe UI Emoji" w:cs="Segoe UI Emoji"/>
          <w:color w:val="0F4761"/>
        </w:rPr>
        <w:lastRenderedPageBreak/>
        <w:t>📌</w:t>
      </w:r>
      <w:r>
        <w:rPr>
          <w:color w:val="0F4761"/>
        </w:rPr>
        <w:t xml:space="preserve"> Lámina 11 — GRÁFICOS DE REGRESIÓN *(~60 </w:t>
      </w:r>
      <w:proofErr w:type="gramStart"/>
      <w:r>
        <w:rPr>
          <w:color w:val="0F4761"/>
        </w:rPr>
        <w:t>seg)*</w:t>
      </w:r>
      <w:proofErr w:type="gramEnd"/>
    </w:p>
    <w:p w14:paraId="38700277" w14:textId="682BA499" w:rsidR="0027746D" w:rsidRDefault="00000000" w:rsidP="00AA5CE2">
      <w:pPr>
        <w:ind w:left="720"/>
        <w:rPr>
          <w:rFonts w:hint="eastAsia"/>
        </w:rPr>
      </w:pPr>
      <w:r>
        <w:rPr>
          <w:i/>
          <w:color w:val="555555"/>
        </w:rPr>
        <w:t xml:space="preserve">"En los diagramas de dispersión en escala logarítmica vemos una tendencia positiva clara, pero con bastante dispersión, lo que explica el R² entre 0,18 y 0,28. El modelo M3 —compras de inversión— muestra la mayor adherencia a la recta, con R² de 0,28, lo que tiene sentido: el subtítulo 31 tiene mayor correspondencia directa con el </w:t>
      </w:r>
      <w:proofErr w:type="spellStart"/>
      <w:r>
        <w:rPr>
          <w:i/>
          <w:color w:val="555555"/>
        </w:rPr>
        <w:t>presupuesto</w:t>
      </w:r>
      <w:proofErr w:type="spellEnd"/>
      <w:r>
        <w:rPr>
          <w:i/>
          <w:color w:val="555555"/>
        </w:rPr>
        <w:t xml:space="preserve"> de </w:t>
      </w:r>
      <w:proofErr w:type="spellStart"/>
      <w:r>
        <w:rPr>
          <w:i/>
          <w:color w:val="555555"/>
        </w:rPr>
        <w:t>inversión</w:t>
      </w:r>
      <w:proofErr w:type="spellEnd"/>
      <w:r>
        <w:rPr>
          <w:i/>
          <w:color w:val="555555"/>
        </w:rPr>
        <w:t>."</w:t>
      </w:r>
    </w:p>
    <w:p w14:paraId="3C1B6E77" w14:textId="77777777" w:rsidR="0027746D" w:rsidRDefault="00000000">
      <w:pPr>
        <w:rPr>
          <w:rFonts w:hint="eastAsia"/>
        </w:rPr>
      </w:pPr>
      <w:r>
        <w:t>________________________________________________________</w:t>
      </w:r>
    </w:p>
    <w:p w14:paraId="03699FE7" w14:textId="77777777" w:rsidR="0027746D" w:rsidRDefault="0027746D">
      <w:pPr>
        <w:rPr>
          <w:rFonts w:hint="eastAsia"/>
        </w:rPr>
      </w:pPr>
    </w:p>
    <w:p w14:paraId="7277E6F5" w14:textId="1BE114A3"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12 — INTERPRETACIÓN E INCERTIDUMBRE *(~90 </w:t>
      </w:r>
      <w:proofErr w:type="gramStart"/>
      <w:r>
        <w:rPr>
          <w:color w:val="0F4761"/>
        </w:rPr>
        <w:t>seg)*</w:t>
      </w:r>
      <w:proofErr w:type="gramEnd"/>
    </w:p>
    <w:p w14:paraId="5C0EF646" w14:textId="7D8B4098" w:rsidR="0027746D" w:rsidRDefault="00000000" w:rsidP="00AA5CE2">
      <w:pPr>
        <w:ind w:left="720"/>
        <w:rPr>
          <w:rFonts w:hint="eastAsia"/>
        </w:rPr>
      </w:pPr>
      <w:r>
        <w:rPr>
          <w:i/>
          <w:color w:val="555555"/>
        </w:rPr>
        <w:t xml:space="preserve">"Es fundamental declarar lo que el modelo puede y no puede decir. En magnitud: β₁ promedio de 0,55 confirma la inelasticidad, con mayor elasticidad </w:t>
      </w:r>
      <w:proofErr w:type="spellStart"/>
      <w:r>
        <w:rPr>
          <w:i/>
          <w:color w:val="555555"/>
        </w:rPr>
        <w:t>en</w:t>
      </w:r>
      <w:proofErr w:type="spellEnd"/>
      <w:r>
        <w:rPr>
          <w:i/>
          <w:color w:val="555555"/>
        </w:rPr>
        <w:t xml:space="preserve"> </w:t>
      </w:r>
      <w:proofErr w:type="spellStart"/>
      <w:r>
        <w:rPr>
          <w:i/>
          <w:color w:val="555555"/>
        </w:rPr>
        <w:t>compras</w:t>
      </w:r>
      <w:proofErr w:type="spellEnd"/>
      <w:r>
        <w:rPr>
          <w:i/>
          <w:color w:val="555555"/>
        </w:rPr>
        <w:t xml:space="preserve"> de </w:t>
      </w:r>
      <w:proofErr w:type="spellStart"/>
      <w:r>
        <w:rPr>
          <w:i/>
          <w:color w:val="555555"/>
        </w:rPr>
        <w:t>inversión</w:t>
      </w:r>
      <w:proofErr w:type="spellEnd"/>
      <w:r>
        <w:rPr>
          <w:i/>
          <w:color w:val="555555"/>
        </w:rPr>
        <w:t>."</w:t>
      </w:r>
    </w:p>
    <w:p w14:paraId="47E15DD7" w14:textId="7AA09544" w:rsidR="0027746D" w:rsidRDefault="00000000" w:rsidP="00AA5CE2">
      <w:pPr>
        <w:ind w:left="720"/>
        <w:rPr>
          <w:rFonts w:hint="eastAsia"/>
        </w:rPr>
      </w:pPr>
      <w:r>
        <w:rPr>
          <w:i/>
          <w:color w:val="555555"/>
        </w:rPr>
        <w:t xml:space="preserve">"En incertidumbre: el R² de 0,18 a 0,28 implica que el 72 </w:t>
      </w:r>
      <w:proofErr w:type="gramStart"/>
      <w:r>
        <w:rPr>
          <w:i/>
          <w:color w:val="555555"/>
        </w:rPr>
        <w:t>a</w:t>
      </w:r>
      <w:proofErr w:type="gramEnd"/>
      <w:r>
        <w:rPr>
          <w:i/>
          <w:color w:val="555555"/>
        </w:rPr>
        <w:t xml:space="preserve"> 82% de la variabilidad </w:t>
      </w:r>
      <w:proofErr w:type="gramStart"/>
      <w:r>
        <w:rPr>
          <w:i/>
          <w:color w:val="555555"/>
        </w:rPr>
        <w:t>no</w:t>
      </w:r>
      <w:proofErr w:type="gramEnd"/>
      <w:r>
        <w:rPr>
          <w:i/>
          <w:color w:val="555555"/>
        </w:rPr>
        <w:t xml:space="preserve"> la explica el presupuesto. Hay contratos plurianuales, concesiones y operaciones fuera de Mercado Público </w:t>
      </w:r>
      <w:proofErr w:type="spellStart"/>
      <w:r>
        <w:rPr>
          <w:i/>
          <w:color w:val="555555"/>
        </w:rPr>
        <w:t>que</w:t>
      </w:r>
      <w:proofErr w:type="spellEnd"/>
      <w:r>
        <w:rPr>
          <w:i/>
          <w:color w:val="555555"/>
        </w:rPr>
        <w:t xml:space="preserve"> no </w:t>
      </w:r>
      <w:proofErr w:type="spellStart"/>
      <w:r>
        <w:rPr>
          <w:i/>
          <w:color w:val="555555"/>
        </w:rPr>
        <w:t>capturamos</w:t>
      </w:r>
      <w:proofErr w:type="spellEnd"/>
      <w:r>
        <w:rPr>
          <w:i/>
          <w:color w:val="555555"/>
        </w:rPr>
        <w:t>."</w:t>
      </w:r>
    </w:p>
    <w:p w14:paraId="604C809A" w14:textId="24E18463" w:rsidR="0027746D" w:rsidRDefault="00000000" w:rsidP="00AA5CE2">
      <w:pPr>
        <w:ind w:left="720"/>
        <w:rPr>
          <w:rFonts w:hint="eastAsia"/>
        </w:rPr>
      </w:pPr>
      <w:r>
        <w:rPr>
          <w:i/>
          <w:color w:val="555555"/>
        </w:rPr>
        <w:t xml:space="preserve">"Y lo más importante: son modelos correlacionales, no causales. No podemos afirmar que más presupuesto causa más compras digitalizadas. Pueden existir variables confusoras como el tipo de proyecto o las políticas de </w:t>
      </w:r>
      <w:proofErr w:type="spellStart"/>
      <w:r>
        <w:rPr>
          <w:i/>
          <w:color w:val="555555"/>
        </w:rPr>
        <w:t>adquisición</w:t>
      </w:r>
      <w:proofErr w:type="spellEnd"/>
      <w:r>
        <w:rPr>
          <w:i/>
          <w:color w:val="555555"/>
        </w:rPr>
        <w:t xml:space="preserve"> de </w:t>
      </w:r>
      <w:proofErr w:type="spellStart"/>
      <w:r>
        <w:rPr>
          <w:i/>
          <w:color w:val="555555"/>
        </w:rPr>
        <w:t>cada</w:t>
      </w:r>
      <w:proofErr w:type="spellEnd"/>
      <w:r>
        <w:rPr>
          <w:i/>
          <w:color w:val="555555"/>
        </w:rPr>
        <w:t xml:space="preserve"> </w:t>
      </w:r>
      <w:proofErr w:type="spellStart"/>
      <w:r>
        <w:rPr>
          <w:i/>
          <w:color w:val="555555"/>
        </w:rPr>
        <w:t>servicio</w:t>
      </w:r>
      <w:proofErr w:type="spellEnd"/>
      <w:r>
        <w:rPr>
          <w:i/>
          <w:color w:val="555555"/>
        </w:rPr>
        <w:t>."</w:t>
      </w:r>
    </w:p>
    <w:p w14:paraId="640A7D46" w14:textId="5C68D2F5" w:rsidR="0027746D" w:rsidRDefault="00000000">
      <w:pPr>
        <w:rPr>
          <w:rFonts w:hint="eastAsia"/>
        </w:rPr>
      </w:pPr>
      <w:r>
        <w:t>________________________________________________________</w:t>
      </w:r>
    </w:p>
    <w:p w14:paraId="60A56600" w14:textId="42128AEF" w:rsidR="0027746D" w:rsidRDefault="00000000" w:rsidP="00AA5CE2">
      <w:pPr>
        <w:pStyle w:val="Ttulo3"/>
        <w:rPr>
          <w:rFonts w:hint="eastAsia"/>
        </w:rPr>
      </w:pPr>
      <w:r>
        <w:rPr>
          <w:rFonts w:ascii="Segoe UI Emoji" w:hAnsi="Segoe UI Emoji" w:cs="Segoe UI Emoji"/>
          <w:color w:val="0F4761"/>
        </w:rPr>
        <w:t>📌</w:t>
      </w:r>
      <w:r>
        <w:rPr>
          <w:color w:val="0F4761"/>
        </w:rPr>
        <w:t xml:space="preserve"> </w:t>
      </w:r>
      <w:proofErr w:type="spellStart"/>
      <w:r>
        <w:rPr>
          <w:color w:val="0F4761"/>
        </w:rPr>
        <w:t>Lámina</w:t>
      </w:r>
      <w:proofErr w:type="spellEnd"/>
      <w:r>
        <w:rPr>
          <w:color w:val="0F4761"/>
        </w:rPr>
        <w:t xml:space="preserve"> 13 — DASHBOARD</w:t>
      </w:r>
    </w:p>
    <w:p w14:paraId="71835A64" w14:textId="0A41962B" w:rsidR="0027746D" w:rsidRDefault="00000000" w:rsidP="00AA5CE2">
      <w:pPr>
        <w:ind w:left="720"/>
        <w:rPr>
          <w:rFonts w:hint="eastAsia"/>
        </w:rPr>
      </w:pPr>
      <w:r>
        <w:rPr>
          <w:i/>
          <w:color w:val="555555"/>
        </w:rPr>
        <w:t xml:space="preserve">"Para el despliegue desarrollamos un dashboard en Streamlit. Tiene filtros dinámicos por año, región, servicio y modalidad: al aplicarlos, todos los KPIs y gráficos se </w:t>
      </w:r>
      <w:proofErr w:type="spellStart"/>
      <w:r>
        <w:rPr>
          <w:i/>
          <w:color w:val="555555"/>
        </w:rPr>
        <w:t>actualizan</w:t>
      </w:r>
      <w:proofErr w:type="spellEnd"/>
      <w:r>
        <w:rPr>
          <w:i/>
          <w:color w:val="555555"/>
        </w:rPr>
        <w:t xml:space="preserve"> </w:t>
      </w:r>
      <w:proofErr w:type="spellStart"/>
      <w:r>
        <w:rPr>
          <w:i/>
          <w:color w:val="555555"/>
        </w:rPr>
        <w:t>en</w:t>
      </w:r>
      <w:proofErr w:type="spellEnd"/>
      <w:r>
        <w:rPr>
          <w:i/>
          <w:color w:val="555555"/>
        </w:rPr>
        <w:t xml:space="preserve"> </w:t>
      </w:r>
      <w:proofErr w:type="spellStart"/>
      <w:r>
        <w:rPr>
          <w:i/>
          <w:color w:val="555555"/>
        </w:rPr>
        <w:t>tiempo</w:t>
      </w:r>
      <w:proofErr w:type="spellEnd"/>
      <w:r>
        <w:rPr>
          <w:i/>
          <w:color w:val="555555"/>
        </w:rPr>
        <w:t xml:space="preserve"> real."</w:t>
      </w:r>
    </w:p>
    <w:p w14:paraId="5BB4A43D" w14:textId="663E975C" w:rsidR="0027746D" w:rsidRDefault="00000000" w:rsidP="00AA5CE2">
      <w:pPr>
        <w:ind w:left="720"/>
        <w:rPr>
          <w:rFonts w:hint="eastAsia"/>
        </w:rPr>
      </w:pPr>
      <w:r>
        <w:rPr>
          <w:i/>
          <w:color w:val="555555"/>
        </w:rPr>
        <w:t xml:space="preserve">"Las pestañas cubren estacionalidad mensual 2018 vs 2019, presupuesto versus compras, y desglose por modalidad y servicio. Cada gráfico tiene una lectura interpretativa para </w:t>
      </w:r>
      <w:proofErr w:type="spellStart"/>
      <w:r>
        <w:rPr>
          <w:i/>
          <w:color w:val="555555"/>
        </w:rPr>
        <w:t>directivos</w:t>
      </w:r>
      <w:proofErr w:type="spellEnd"/>
      <w:r>
        <w:rPr>
          <w:i/>
          <w:color w:val="555555"/>
        </w:rPr>
        <w:t xml:space="preserve"> sin </w:t>
      </w:r>
      <w:proofErr w:type="spellStart"/>
      <w:r>
        <w:rPr>
          <w:i/>
          <w:color w:val="555555"/>
        </w:rPr>
        <w:t>perfil</w:t>
      </w:r>
      <w:proofErr w:type="spellEnd"/>
      <w:r>
        <w:rPr>
          <w:i/>
          <w:color w:val="555555"/>
        </w:rPr>
        <w:t xml:space="preserve"> </w:t>
      </w:r>
      <w:proofErr w:type="spellStart"/>
      <w:r>
        <w:rPr>
          <w:i/>
          <w:color w:val="555555"/>
        </w:rPr>
        <w:t>técnico</w:t>
      </w:r>
      <w:proofErr w:type="spellEnd"/>
      <w:r>
        <w:rPr>
          <w:i/>
          <w:color w:val="555555"/>
        </w:rPr>
        <w:t>."</w:t>
      </w:r>
    </w:p>
    <w:p w14:paraId="3C0D955F" w14:textId="77777777" w:rsidR="0027746D" w:rsidRDefault="00000000">
      <w:pPr>
        <w:ind w:left="720"/>
        <w:rPr>
          <w:rFonts w:hint="eastAsia"/>
        </w:rPr>
      </w:pPr>
      <w:r>
        <w:rPr>
          <w:i/>
          <w:color w:val="555555"/>
        </w:rPr>
        <w:t>"Para ejecutarlo: desde entrega final/, `streamlit run 04_dashboard/dashboard_app.py`."</w:t>
      </w:r>
    </w:p>
    <w:p w14:paraId="702835D9" w14:textId="77777777" w:rsidR="0027746D" w:rsidRDefault="0027746D">
      <w:pPr>
        <w:rPr>
          <w:rFonts w:hint="eastAsia"/>
        </w:rPr>
      </w:pPr>
    </w:p>
    <w:p w14:paraId="06EB2EE1" w14:textId="3C71DC91" w:rsidR="0027746D" w:rsidRDefault="00000000">
      <w:pPr>
        <w:rPr>
          <w:rFonts w:hint="eastAsia"/>
        </w:rPr>
      </w:pPr>
      <w:r>
        <w:rPr>
          <w:b/>
        </w:rPr>
        <w:t>Si hay computador:</w:t>
      </w:r>
      <w:r>
        <w:t xml:space="preserve"> mostrar el dashboard en vivo </w:t>
      </w:r>
      <w:proofErr w:type="spellStart"/>
      <w:r>
        <w:t>aplicando</w:t>
      </w:r>
      <w:proofErr w:type="spellEnd"/>
      <w:r>
        <w:t xml:space="preserve"> un </w:t>
      </w:r>
      <w:proofErr w:type="spellStart"/>
      <w:r>
        <w:t>filtro</w:t>
      </w:r>
      <w:proofErr w:type="spellEnd"/>
      <w:r>
        <w:t>.</w:t>
      </w:r>
    </w:p>
    <w:p w14:paraId="07721C0C" w14:textId="77777777" w:rsidR="0027746D" w:rsidRDefault="00000000">
      <w:pPr>
        <w:rPr>
          <w:rFonts w:hint="eastAsia"/>
        </w:rPr>
      </w:pPr>
      <w:r>
        <w:t>________________________________________________________</w:t>
      </w:r>
    </w:p>
    <w:p w14:paraId="3FAAB593" w14:textId="77777777" w:rsidR="0027746D" w:rsidRDefault="0027746D">
      <w:pPr>
        <w:rPr>
          <w:rFonts w:hint="eastAsia"/>
        </w:rPr>
      </w:pPr>
    </w:p>
    <w:p w14:paraId="40E48124" w14:textId="3438525B" w:rsidR="0027746D" w:rsidRDefault="00000000" w:rsidP="00AA5CE2">
      <w:pPr>
        <w:pStyle w:val="Ttulo3"/>
        <w:rPr>
          <w:rFonts w:hint="eastAsia"/>
        </w:rPr>
      </w:pPr>
      <w:r>
        <w:rPr>
          <w:rFonts w:ascii="Segoe UI Emoji" w:hAnsi="Segoe UI Emoji" w:cs="Segoe UI Emoji"/>
          <w:color w:val="0F4761"/>
        </w:rPr>
        <w:lastRenderedPageBreak/>
        <w:t>📌</w:t>
      </w:r>
      <w:r>
        <w:rPr>
          <w:color w:val="0F4761"/>
        </w:rPr>
        <w:t xml:space="preserve"> Lámina 14 — VISUALIZACIONES COMPLEMENTARIAS</w:t>
      </w:r>
    </w:p>
    <w:p w14:paraId="09F02BF6" w14:textId="6FBC4BB1" w:rsidR="0027746D" w:rsidRDefault="00000000" w:rsidP="00AA5CE2">
      <w:pPr>
        <w:ind w:left="720"/>
        <w:rPr>
          <w:rFonts w:hint="eastAsia"/>
        </w:rPr>
      </w:pPr>
      <w:r>
        <w:rPr>
          <w:i/>
          <w:color w:val="555555"/>
        </w:rPr>
        <w:t xml:space="preserve">"El heatmap de monto por región y mes permite ver de un vistazo los meses más activos por zona —el sur y el norte tienen patrones distintos—. La comparación por servicio entre 2018 y 2019 muestra variaciones que podrían responder a cambios en los planes de </w:t>
      </w:r>
      <w:proofErr w:type="spellStart"/>
      <w:r>
        <w:rPr>
          <w:i/>
          <w:color w:val="555555"/>
        </w:rPr>
        <w:t>inversión</w:t>
      </w:r>
      <w:proofErr w:type="spellEnd"/>
      <w:r>
        <w:rPr>
          <w:i/>
          <w:color w:val="555555"/>
        </w:rPr>
        <w:t xml:space="preserve"> </w:t>
      </w:r>
      <w:proofErr w:type="spellStart"/>
      <w:r>
        <w:rPr>
          <w:i/>
          <w:color w:val="555555"/>
        </w:rPr>
        <w:t>anuales</w:t>
      </w:r>
      <w:proofErr w:type="spellEnd"/>
      <w:r>
        <w:rPr>
          <w:i/>
          <w:color w:val="555555"/>
        </w:rPr>
        <w:t>."</w:t>
      </w:r>
    </w:p>
    <w:p w14:paraId="0CED1FF8" w14:textId="25B0AEF4" w:rsidR="0027746D" w:rsidRDefault="00000000">
      <w:pPr>
        <w:rPr>
          <w:rFonts w:hint="eastAsia"/>
        </w:rPr>
      </w:pPr>
      <w:r>
        <w:t>________________________________________________________</w:t>
      </w:r>
    </w:p>
    <w:p w14:paraId="63E31A68" w14:textId="3787E0D5" w:rsidR="0027746D" w:rsidRDefault="00000000" w:rsidP="00AA5CE2">
      <w:pPr>
        <w:pStyle w:val="Ttulo3"/>
        <w:rPr>
          <w:rFonts w:hint="eastAsia"/>
        </w:rPr>
      </w:pPr>
      <w:r>
        <w:rPr>
          <w:rFonts w:ascii="Segoe UI Emoji" w:hAnsi="Segoe UI Emoji" w:cs="Segoe UI Emoji"/>
          <w:color w:val="0F4761"/>
        </w:rPr>
        <w:t>📌</w:t>
      </w:r>
      <w:r>
        <w:rPr>
          <w:color w:val="0F4761"/>
        </w:rPr>
        <w:t xml:space="preserve"> Lámina 15 — RECOMENDACIONES </w:t>
      </w:r>
    </w:p>
    <w:p w14:paraId="2D965E5A" w14:textId="72C92A63" w:rsidR="0027746D" w:rsidRDefault="00000000" w:rsidP="00AA5CE2">
      <w:pPr>
        <w:ind w:left="720"/>
        <w:rPr>
          <w:rFonts w:hint="eastAsia"/>
        </w:rPr>
      </w:pPr>
      <w:r>
        <w:rPr>
          <w:i/>
          <w:color w:val="555555"/>
        </w:rPr>
        <w:t xml:space="preserve">"Cuatro recomendaciones accionables: primero, auditar los servicios con más del 20% de Trato Directo de la Tabla E. Segundo, implementar metas trimestrales de compras para desconcentrar el Q4. Tercero, exigir código BIP en todas las OC de proyectos de inversión. Cuarto, revisar la política de diversificación de proveedores </w:t>
      </w:r>
      <w:proofErr w:type="spellStart"/>
      <w:r>
        <w:rPr>
          <w:i/>
          <w:color w:val="555555"/>
        </w:rPr>
        <w:t>donde</w:t>
      </w:r>
      <w:proofErr w:type="spellEnd"/>
      <w:r>
        <w:rPr>
          <w:i/>
          <w:color w:val="555555"/>
        </w:rPr>
        <w:t xml:space="preserve"> hay </w:t>
      </w:r>
      <w:proofErr w:type="spellStart"/>
      <w:r>
        <w:rPr>
          <w:i/>
          <w:color w:val="555555"/>
        </w:rPr>
        <w:t>alta</w:t>
      </w:r>
      <w:proofErr w:type="spellEnd"/>
      <w:r>
        <w:rPr>
          <w:i/>
          <w:color w:val="555555"/>
        </w:rPr>
        <w:t xml:space="preserve"> </w:t>
      </w:r>
      <w:proofErr w:type="spellStart"/>
      <w:r>
        <w:rPr>
          <w:i/>
          <w:color w:val="555555"/>
        </w:rPr>
        <w:t>concentración</w:t>
      </w:r>
      <w:proofErr w:type="spellEnd"/>
      <w:r>
        <w:rPr>
          <w:i/>
          <w:color w:val="555555"/>
        </w:rPr>
        <w:t>."</w:t>
      </w:r>
    </w:p>
    <w:p w14:paraId="7CAE7D35" w14:textId="77777777" w:rsidR="0027746D" w:rsidRDefault="00000000">
      <w:pPr>
        <w:rPr>
          <w:rFonts w:hint="eastAsia"/>
        </w:rPr>
      </w:pPr>
      <w:r>
        <w:t>________________________________________________________</w:t>
      </w:r>
    </w:p>
    <w:p w14:paraId="4D064447" w14:textId="77777777" w:rsidR="0027746D" w:rsidRDefault="0027746D">
      <w:pPr>
        <w:rPr>
          <w:rFonts w:hint="eastAsia"/>
        </w:rPr>
      </w:pPr>
    </w:p>
    <w:p w14:paraId="767115C1" w14:textId="4482EDAC" w:rsidR="0027746D" w:rsidRDefault="00000000" w:rsidP="00AA5CE2">
      <w:pPr>
        <w:pStyle w:val="Ttulo3"/>
        <w:rPr>
          <w:rFonts w:hint="eastAsia"/>
        </w:rPr>
      </w:pPr>
      <w:r>
        <w:rPr>
          <w:rFonts w:ascii="Segoe UI Emoji" w:hAnsi="Segoe UI Emoji" w:cs="Segoe UI Emoji"/>
          <w:color w:val="0F4761"/>
        </w:rPr>
        <w:t>📌</w:t>
      </w:r>
      <w:r>
        <w:rPr>
          <w:color w:val="0F4761"/>
        </w:rPr>
        <w:t xml:space="preserve"> </w:t>
      </w:r>
      <w:proofErr w:type="spellStart"/>
      <w:r>
        <w:rPr>
          <w:color w:val="0F4761"/>
        </w:rPr>
        <w:t>Lámina</w:t>
      </w:r>
      <w:proofErr w:type="spellEnd"/>
      <w:r>
        <w:rPr>
          <w:color w:val="0F4761"/>
        </w:rPr>
        <w:t xml:space="preserve"> 16 — CONCLUSIÓN</w:t>
      </w:r>
    </w:p>
    <w:p w14:paraId="57951A62" w14:textId="6CC05527" w:rsidR="0027746D" w:rsidRDefault="00000000" w:rsidP="00AA5CE2">
      <w:pPr>
        <w:pBdr>
          <w:bottom w:val="single" w:sz="12" w:space="1" w:color="auto"/>
        </w:pBdr>
        <w:ind w:left="720"/>
        <w:rPr>
          <w:i/>
          <w:color w:val="555555"/>
        </w:rPr>
      </w:pPr>
      <w:r>
        <w:rPr>
          <w:i/>
          <w:color w:val="555555"/>
        </w:rPr>
        <w:t>"En conclusión, confirmamos la relación positiva e inelástica entre presupuesto MOP y compras en Mercado Público. El β₁ de 0,55 y la cobertura digital del 17,2% señalan una oportunidad significativa de mejora. La entrega incluye datos originales y procesados, tres scripts de pipeline, cinco notebooks, el dashboard y</w:t>
      </w:r>
      <w:r w:rsidR="00AA5CE2">
        <w:rPr>
          <w:i/>
          <w:color w:val="555555"/>
        </w:rPr>
        <w:t xml:space="preserve"> </w:t>
      </w:r>
      <w:proofErr w:type="spellStart"/>
      <w:r>
        <w:rPr>
          <w:i/>
          <w:color w:val="555555"/>
        </w:rPr>
        <w:t>los</w:t>
      </w:r>
      <w:proofErr w:type="spellEnd"/>
      <w:r>
        <w:rPr>
          <w:i/>
          <w:color w:val="555555"/>
        </w:rPr>
        <w:t xml:space="preserve"> </w:t>
      </w:r>
      <w:proofErr w:type="spellStart"/>
      <w:r>
        <w:rPr>
          <w:i/>
          <w:color w:val="555555"/>
        </w:rPr>
        <w:t>documentos</w:t>
      </w:r>
      <w:proofErr w:type="spellEnd"/>
      <w:r>
        <w:rPr>
          <w:i/>
          <w:color w:val="555555"/>
        </w:rPr>
        <w:t xml:space="preserve"> </w:t>
      </w:r>
      <w:proofErr w:type="spellStart"/>
      <w:r>
        <w:rPr>
          <w:i/>
          <w:color w:val="555555"/>
        </w:rPr>
        <w:t>en</w:t>
      </w:r>
      <w:proofErr w:type="spellEnd"/>
      <w:r>
        <w:rPr>
          <w:i/>
          <w:color w:val="555555"/>
        </w:rPr>
        <w:t xml:space="preserve"> 06_doc. </w:t>
      </w:r>
      <w:proofErr w:type="spellStart"/>
      <w:r>
        <w:rPr>
          <w:i/>
          <w:color w:val="555555"/>
        </w:rPr>
        <w:t>Quedamos</w:t>
      </w:r>
      <w:proofErr w:type="spellEnd"/>
      <w:r>
        <w:rPr>
          <w:i/>
          <w:color w:val="555555"/>
        </w:rPr>
        <w:t xml:space="preserve"> </w:t>
      </w:r>
      <w:proofErr w:type="spellStart"/>
      <w:r>
        <w:rPr>
          <w:i/>
          <w:color w:val="555555"/>
        </w:rPr>
        <w:t>disponibles</w:t>
      </w:r>
      <w:proofErr w:type="spellEnd"/>
      <w:r>
        <w:rPr>
          <w:i/>
          <w:color w:val="555555"/>
        </w:rPr>
        <w:t xml:space="preserve"> para </w:t>
      </w:r>
      <w:proofErr w:type="spellStart"/>
      <w:r>
        <w:rPr>
          <w:i/>
          <w:color w:val="555555"/>
        </w:rPr>
        <w:t>preguntas</w:t>
      </w:r>
      <w:proofErr w:type="spellEnd"/>
      <w:r>
        <w:rPr>
          <w:i/>
          <w:color w:val="555555"/>
        </w:rPr>
        <w:t>."</w:t>
      </w:r>
    </w:p>
    <w:p w14:paraId="09869636" w14:textId="77777777" w:rsidR="00AA5CE2" w:rsidRDefault="00AA5CE2" w:rsidP="00AA5CE2">
      <w:pPr>
        <w:pBdr>
          <w:bottom w:val="single" w:sz="12" w:space="1" w:color="auto"/>
        </w:pBdr>
        <w:ind w:left="720"/>
        <w:rPr>
          <w:rFonts w:hint="eastAsia"/>
        </w:rPr>
      </w:pPr>
    </w:p>
    <w:p w14:paraId="5993C708" w14:textId="77777777" w:rsidR="00AA5CE2" w:rsidRDefault="00AA5CE2"/>
    <w:p w14:paraId="6E17BF62" w14:textId="77777777" w:rsidR="00AA5CE2" w:rsidRDefault="00AA5CE2"/>
    <w:p w14:paraId="06C2DE48" w14:textId="77777777" w:rsidR="00AA5CE2" w:rsidRDefault="00AA5CE2"/>
    <w:p w14:paraId="3D167B8D" w14:textId="77777777" w:rsidR="00AA5CE2" w:rsidRDefault="00AA5CE2"/>
    <w:p w14:paraId="56023AC7" w14:textId="77777777" w:rsidR="00AA5CE2" w:rsidRDefault="00AA5CE2"/>
    <w:p w14:paraId="4207EBE3" w14:textId="77777777" w:rsidR="00AA5CE2" w:rsidRDefault="00AA5CE2"/>
    <w:p w14:paraId="733488C0" w14:textId="77777777" w:rsidR="00AA5CE2" w:rsidRDefault="00AA5CE2"/>
    <w:p w14:paraId="5F824F90" w14:textId="77777777" w:rsidR="00AA5CE2" w:rsidRDefault="00AA5CE2"/>
    <w:p w14:paraId="35214BA0" w14:textId="77777777" w:rsidR="00AA5CE2" w:rsidRDefault="00AA5CE2"/>
    <w:p w14:paraId="2F30C1DC" w14:textId="77777777" w:rsidR="00AA5CE2" w:rsidRDefault="00AA5CE2"/>
    <w:p w14:paraId="52C49E92" w14:textId="77777777" w:rsidR="00AA5CE2" w:rsidRDefault="00AA5CE2"/>
    <w:p w14:paraId="279BD053" w14:textId="77777777" w:rsidR="00AA5CE2" w:rsidRDefault="00AA5CE2"/>
    <w:p w14:paraId="01396F56" w14:textId="77777777" w:rsidR="00AA5CE2" w:rsidRDefault="00AA5CE2">
      <w:pPr>
        <w:rPr>
          <w:rFonts w:hint="eastAsia"/>
        </w:rPr>
      </w:pPr>
    </w:p>
    <w:p w14:paraId="0FD651C5" w14:textId="77777777" w:rsidR="0027746D" w:rsidRDefault="00000000">
      <w:pPr>
        <w:pStyle w:val="Ttulo2"/>
      </w:pPr>
      <w:r>
        <w:rPr>
          <w:color w:val="0F4761"/>
        </w:rPr>
        <w:t>🛡️ Banco de preguntas del jurado</w:t>
      </w:r>
    </w:p>
    <w:p w14:paraId="2C0BB149" w14:textId="77777777" w:rsidR="0027746D" w:rsidRDefault="0027746D">
      <w:pPr>
        <w:rPr>
          <w:rFonts w:hint="eastAsia"/>
        </w:rPr>
      </w:pPr>
    </w:p>
    <w:p w14:paraId="579D0945" w14:textId="77777777" w:rsidR="0027746D" w:rsidRDefault="00000000">
      <w:pPr>
        <w:rPr>
          <w:rFonts w:hint="eastAsia"/>
        </w:rPr>
      </w:pPr>
      <w:r>
        <w:rPr>
          <w:b/>
        </w:rPr>
        <w:t>"¿Por qué log-log y no lineal simple?"</w:t>
      </w:r>
    </w:p>
    <w:p w14:paraId="3E798E68" w14:textId="77777777" w:rsidR="0027746D" w:rsidRDefault="00000000">
      <w:pPr>
        <w:ind w:left="720"/>
        <w:rPr>
          <w:rFonts w:hint="eastAsia"/>
        </w:rPr>
      </w:pPr>
      <w:r>
        <w:rPr>
          <w:i/>
          <w:color w:val="555555"/>
        </w:rPr>
        <w:t>La relación no es lineal — el efecto marginal decrece. Log-log interpreta β₁ directamente como elasticidad y es más robusto ante valores extremos.</w:t>
      </w:r>
    </w:p>
    <w:p w14:paraId="58590CAA" w14:textId="77777777" w:rsidR="0027746D" w:rsidRDefault="0027746D">
      <w:pPr>
        <w:rPr>
          <w:rFonts w:hint="eastAsia"/>
        </w:rPr>
      </w:pPr>
    </w:p>
    <w:p w14:paraId="6B47AA46" w14:textId="77777777" w:rsidR="0027746D" w:rsidRDefault="00000000">
      <w:pPr>
        <w:rPr>
          <w:rFonts w:hint="eastAsia"/>
        </w:rPr>
      </w:pPr>
      <w:r>
        <w:rPr>
          <w:b/>
        </w:rPr>
        <w:t>"¿Por qué errores HC1 y no HC0 o HC3?"</w:t>
      </w:r>
    </w:p>
    <w:p w14:paraId="375C3B70" w14:textId="77777777" w:rsidR="0027746D" w:rsidRDefault="00000000">
      <w:pPr>
        <w:ind w:left="720"/>
        <w:rPr>
          <w:rFonts w:hint="eastAsia"/>
        </w:rPr>
      </w:pPr>
      <w:r>
        <w:rPr>
          <w:i/>
          <w:color w:val="555555"/>
        </w:rPr>
        <w:t>HC1 aplica la corrección de grados de libertad de Davidson-MacKinnon, apropiada para n 50. HC0 subestima el error en muestras finitas; HC3 es más conservador e innecesario aquí.</w:t>
      </w:r>
    </w:p>
    <w:p w14:paraId="686102D7" w14:textId="77777777" w:rsidR="0027746D" w:rsidRDefault="0027746D">
      <w:pPr>
        <w:rPr>
          <w:rFonts w:hint="eastAsia"/>
        </w:rPr>
      </w:pPr>
    </w:p>
    <w:p w14:paraId="6CB6D30F" w14:textId="77777777" w:rsidR="0027746D" w:rsidRDefault="00000000">
      <w:pPr>
        <w:rPr>
          <w:rFonts w:hint="eastAsia"/>
        </w:rPr>
      </w:pPr>
      <w:r>
        <w:rPr>
          <w:b/>
        </w:rPr>
        <w:t>"¿El modelo sirve para predecir?"</w:t>
      </w:r>
    </w:p>
    <w:p w14:paraId="3CCBE84D" w14:textId="77777777" w:rsidR="0027746D" w:rsidRDefault="00000000">
      <w:pPr>
        <w:ind w:left="720"/>
        <w:rPr>
          <w:rFonts w:hint="eastAsia"/>
        </w:rPr>
      </w:pPr>
      <w:r>
        <w:rPr>
          <w:i/>
          <w:color w:val="555555"/>
        </w:rPr>
        <w:t>No. Con R² de 0,18–0,28 no tiene poder predictivo suficiente. Su valor está en identificar la dirección e inelasticidad de la relación.</w:t>
      </w:r>
    </w:p>
    <w:p w14:paraId="759BA391" w14:textId="77777777" w:rsidR="0027746D" w:rsidRDefault="0027746D">
      <w:pPr>
        <w:rPr>
          <w:rFonts w:hint="eastAsia"/>
        </w:rPr>
      </w:pPr>
    </w:p>
    <w:p w14:paraId="6EDEEA75" w14:textId="77777777" w:rsidR="0027746D" w:rsidRDefault="00000000">
      <w:pPr>
        <w:rPr>
          <w:rFonts w:hint="eastAsia"/>
        </w:rPr>
      </w:pPr>
      <w:r>
        <w:rPr>
          <w:b/>
        </w:rPr>
        <w:t>"¿Por qué solo región 16?"</w:t>
      </w:r>
    </w:p>
    <w:p w14:paraId="78D58336" w14:textId="77777777" w:rsidR="0027746D" w:rsidRDefault="00000000">
      <w:pPr>
        <w:ind w:left="720"/>
        <w:rPr>
          <w:rFonts w:hint="eastAsia"/>
        </w:rPr>
      </w:pPr>
      <w:r>
        <w:rPr>
          <w:i/>
          <w:color w:val="555555"/>
        </w:rPr>
        <w:t>Por disponibilidad: los CSV públicos de ChileCompra disponibles correspondían a la región de Ñuble. Los resultados son válidos para ese alcance.</w:t>
      </w:r>
    </w:p>
    <w:p w14:paraId="3217A06F" w14:textId="77777777" w:rsidR="0027746D" w:rsidRDefault="0027746D">
      <w:pPr>
        <w:rPr>
          <w:rFonts w:hint="eastAsia"/>
        </w:rPr>
      </w:pPr>
    </w:p>
    <w:p w14:paraId="4F7298DE" w14:textId="77777777" w:rsidR="0027746D" w:rsidRDefault="00000000">
      <w:pPr>
        <w:rPr>
          <w:rFonts w:hint="eastAsia"/>
        </w:rPr>
      </w:pPr>
      <w:r>
        <w:rPr>
          <w:b/>
        </w:rPr>
        <w:t>"¿Qué pasaría con más regiones?"</w:t>
      </w:r>
    </w:p>
    <w:p w14:paraId="3557F8AA" w14:textId="2BBA69F9" w:rsidR="0027746D" w:rsidRDefault="00000000" w:rsidP="00AA5CE2">
      <w:pPr>
        <w:ind w:left="720"/>
        <w:rPr>
          <w:rFonts w:hint="eastAsia"/>
        </w:rPr>
      </w:pPr>
      <w:r>
        <w:rPr>
          <w:i/>
          <w:color w:val="555555"/>
        </w:rPr>
        <w:t>Los coeficientes serían más precisos (menor EE), y podrían aparecer heterogeneidades regionales que justificarían efectos fijos por región.</w:t>
      </w:r>
    </w:p>
    <w:sectPr w:rsidR="002774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3845701">
    <w:abstractNumId w:val="8"/>
  </w:num>
  <w:num w:numId="2" w16cid:durableId="798573128">
    <w:abstractNumId w:val="6"/>
  </w:num>
  <w:num w:numId="3" w16cid:durableId="863909132">
    <w:abstractNumId w:val="5"/>
  </w:num>
  <w:num w:numId="4" w16cid:durableId="1236940177">
    <w:abstractNumId w:val="4"/>
  </w:num>
  <w:num w:numId="5" w16cid:durableId="311637588">
    <w:abstractNumId w:val="7"/>
  </w:num>
  <w:num w:numId="6" w16cid:durableId="1834055929">
    <w:abstractNumId w:val="3"/>
  </w:num>
  <w:num w:numId="7" w16cid:durableId="1014963504">
    <w:abstractNumId w:val="2"/>
  </w:num>
  <w:num w:numId="8" w16cid:durableId="1454179168">
    <w:abstractNumId w:val="1"/>
  </w:num>
  <w:num w:numId="9" w16cid:durableId="70768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46D"/>
    <w:rsid w:val="0029639D"/>
    <w:rsid w:val="00326F90"/>
    <w:rsid w:val="00A50796"/>
    <w:rsid w:val="00AA1D8D"/>
    <w:rsid w:val="00AA5C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315D1"/>
  <w14:defaultImageDpi w14:val="300"/>
  <w15:docId w15:val="{6D62CE4E-B987-4135-AA5E-F955DD77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1540</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ELIECER RIVERA PEREZ</cp:lastModifiedBy>
  <cp:revision>2</cp:revision>
  <dcterms:created xsi:type="dcterms:W3CDTF">2013-12-23T23:15:00Z</dcterms:created>
  <dcterms:modified xsi:type="dcterms:W3CDTF">2026-10-12T23:22:00Z</dcterms:modified>
  <cp:category/>
</cp:coreProperties>
</file>