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2A4A"/>
          <w:sz w:val="40"/>
        </w:rPr>
        <w:t>RÚBRICA DE EVALUACIÓN</w:t>
      </w:r>
    </w:p>
    <w:p>
      <w:pPr>
        <w:jc w:val="center"/>
      </w:pPr>
      <w:r>
        <w:rPr>
          <w:rFonts w:ascii="Calibri" w:hAnsi="Calibri"/>
          <w:b w:val="0"/>
          <w:i/>
          <w:color w:val="2E86AB"/>
          <w:sz w:val="26"/>
        </w:rPr>
        <w:t>Indicadores de Desempeño — Competencia 3.1.5</w:t>
      </w:r>
    </w:p>
    <w:p/>
    <w:p>
      <w:pPr>
        <w:jc w:val="left"/>
      </w:pPr>
      <w:r>
        <w:rPr>
          <w:rFonts w:ascii="Calibri" w:hAnsi="Calibri"/>
          <w:b/>
          <w:i w:val="0"/>
          <w:color w:val="1B2A4A"/>
          <w:sz w:val="24"/>
        </w:rPr>
        <w:t>Resumen de Ponderación por Indicador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val="clear" w:color="auto" w:fill="1B2A4A"/>
          </w:tcPr>
          <w:p>
            <w:pPr>
              <w:jc w:val="center"/>
            </w:pPr>
            <w:r/>
            <w:r>
              <w:rPr>
                <w:rFonts w:ascii="Calibri" w:hAnsi="Calibri"/>
                <w:b/>
                <w:i w:val="0"/>
                <w:color w:val="FFFFFF"/>
                <w:sz w:val="19"/>
              </w:rPr>
              <w:t>Indicador</w:t>
            </w:r>
          </w:p>
        </w:tc>
        <w:tc>
          <w:tcPr>
            <w:tcW w:type="dxa" w:w="5102"/>
            <w:vAlign w:val="center"/>
            <w:shd w:val="clear" w:color="auto" w:fill="1B2A4A"/>
          </w:tcPr>
          <w:p>
            <w:pPr>
              <w:jc w:val="center"/>
            </w:pPr>
            <w:r/>
            <w:r>
              <w:rPr>
                <w:rFonts w:ascii="Calibri" w:hAnsi="Calibri"/>
                <w:b/>
                <w:i w:val="0"/>
                <w:color w:val="FFFFFF"/>
                <w:sz w:val="19"/>
              </w:rPr>
              <w:t>Competencia evaluada</w:t>
            </w:r>
          </w:p>
        </w:tc>
        <w:tc>
          <w:tcPr>
            <w:tcW w:type="dxa" w:w="1587"/>
            <w:vAlign w:val="center"/>
            <w:shd w:val="clear" w:color="auto" w:fill="1B2A4A"/>
          </w:tcPr>
          <w:p>
            <w:pPr>
              <w:jc w:val="center"/>
            </w:pPr>
            <w:r/>
            <w:r>
              <w:rPr>
                <w:rFonts w:ascii="Calibri" w:hAnsi="Calibri"/>
                <w:b/>
                <w:i w:val="0"/>
                <w:color w:val="FFFFFF"/>
                <w:sz w:val="19"/>
              </w:rPr>
              <w:t>Puntaje máximo</w:t>
            </w:r>
          </w:p>
        </w:tc>
        <w:tc>
          <w:tcPr>
            <w:tcW w:type="dxa" w:w="1361"/>
            <w:vAlign w:val="center"/>
            <w:shd w:val="clear" w:color="auto" w:fill="1B2A4A"/>
          </w:tcPr>
          <w:p>
            <w:pPr>
              <w:jc w:val="center"/>
            </w:pPr>
            <w:r/>
            <w:r>
              <w:rPr>
                <w:rFonts w:ascii="Calibri" w:hAnsi="Calibri"/>
                <w:b/>
                <w:i w:val="0"/>
                <w:color w:val="FFFFFF"/>
                <w:sz w:val="19"/>
              </w:rPr>
              <w:t>% del total</w:t>
            </w:r>
          </w:p>
        </w:tc>
      </w:tr>
      <w:tr>
        <w:tc>
          <w:tcPr>
            <w:tcW w:type="dxa" w:w="1701"/>
            <w:vAlign w:val="center"/>
            <w:shd w:val="clear" w:color="auto" w:fill="EAF2FB"/>
          </w:tcPr>
          <w:p>
            <w:pPr>
              <w:jc w:val="center"/>
            </w:pPr>
            <w:r/>
            <w:r>
              <w:rPr>
                <w:rFonts w:ascii="Calibri" w:hAnsi="Calibri"/>
                <w:b w:val="0"/>
                <w:i w:val="0"/>
                <w:sz w:val="18"/>
              </w:rPr>
              <w:t>3.1.5.I.1</w:t>
            </w:r>
          </w:p>
        </w:tc>
        <w:tc>
          <w:tcPr>
            <w:tcW w:type="dxa" w:w="5102"/>
            <w:vAlign w:val="center"/>
            <w:shd w:val="clear" w:color="auto" w:fill="EAF2FB"/>
          </w:tcPr>
          <w:p>
            <w:pPr>
              <w:jc w:val="left"/>
            </w:pPr>
            <w:r/>
            <w:r>
              <w:rPr>
                <w:rFonts w:ascii="Calibri" w:hAnsi="Calibri"/>
                <w:b w:val="0"/>
                <w:i w:val="0"/>
                <w:sz w:val="18"/>
              </w:rPr>
              <w:t>Definición del problema, decisión, audiencia y KPI</w:t>
            </w:r>
          </w:p>
        </w:tc>
        <w:tc>
          <w:tcPr>
            <w:tcW w:type="dxa" w:w="1587"/>
            <w:vAlign w:val="center"/>
            <w:shd w:val="clear" w:color="auto" w:fill="EAF2FB"/>
          </w:tcPr>
          <w:p>
            <w:pPr>
              <w:jc w:val="center"/>
            </w:pPr>
            <w:r/>
            <w:r>
              <w:rPr>
                <w:rFonts w:ascii="Calibri" w:hAnsi="Calibri"/>
                <w:b w:val="0"/>
                <w:i w:val="0"/>
                <w:sz w:val="18"/>
              </w:rPr>
              <w:t>10 pts</w:t>
            </w:r>
          </w:p>
        </w:tc>
        <w:tc>
          <w:tcPr>
            <w:tcW w:type="dxa" w:w="1361"/>
            <w:vAlign w:val="center"/>
            <w:shd w:val="clear" w:color="auto" w:fill="EAF2FB"/>
          </w:tcPr>
          <w:p>
            <w:pPr>
              <w:jc w:val="center"/>
            </w:pPr>
            <w:r/>
            <w:r>
              <w:rPr>
                <w:rFonts w:ascii="Calibri" w:hAnsi="Calibri"/>
                <w:b w:val="0"/>
                <w:i w:val="0"/>
                <w:sz w:val="18"/>
              </w:rPr>
              <w:t>10 %</w:t>
            </w:r>
          </w:p>
        </w:tc>
      </w:tr>
      <w:tr>
        <w:tc>
          <w:tcPr>
            <w:tcW w:type="dxa" w:w="1701"/>
            <w:vAlign w:val="center"/>
            <w:shd w:val="clear" w:color="auto" w:fill="FFFFFF"/>
          </w:tcPr>
          <w:p>
            <w:pPr>
              <w:jc w:val="center"/>
            </w:pPr>
            <w:r/>
            <w:r>
              <w:rPr>
                <w:rFonts w:ascii="Calibri" w:hAnsi="Calibri"/>
                <w:b w:val="0"/>
                <w:i w:val="0"/>
                <w:sz w:val="18"/>
              </w:rPr>
              <w:t>3.1.5.I.2</w:t>
            </w:r>
          </w:p>
        </w:tc>
        <w:tc>
          <w:tcPr>
            <w:tcW w:type="dxa" w:w="5102"/>
            <w:vAlign w:val="center"/>
            <w:shd w:val="clear" w:color="auto" w:fill="FFFFFF"/>
          </w:tcPr>
          <w:p>
            <w:pPr>
              <w:jc w:val="left"/>
            </w:pPr>
            <w:r/>
            <w:r>
              <w:rPr>
                <w:rFonts w:ascii="Calibri" w:hAnsi="Calibri"/>
                <w:b w:val="0"/>
                <w:i w:val="0"/>
                <w:sz w:val="18"/>
              </w:rPr>
              <w:t>Preparación y control de calidad de datos</w:t>
            </w:r>
          </w:p>
        </w:tc>
        <w:tc>
          <w:tcPr>
            <w:tcW w:type="dxa" w:w="1587"/>
            <w:vAlign w:val="center"/>
            <w:shd w:val="clear" w:color="auto" w:fill="FFFFFF"/>
          </w:tcPr>
          <w:p>
            <w:pPr>
              <w:jc w:val="center"/>
            </w:pPr>
            <w:r/>
            <w:r>
              <w:rPr>
                <w:rFonts w:ascii="Calibri" w:hAnsi="Calibri"/>
                <w:b w:val="0"/>
                <w:i w:val="0"/>
                <w:sz w:val="18"/>
              </w:rPr>
              <w:t>15 pts</w:t>
            </w:r>
          </w:p>
        </w:tc>
        <w:tc>
          <w:tcPr>
            <w:tcW w:type="dxa" w:w="1361"/>
            <w:vAlign w:val="center"/>
            <w:shd w:val="clear" w:color="auto" w:fill="FFFFFF"/>
          </w:tcPr>
          <w:p>
            <w:pPr>
              <w:jc w:val="center"/>
            </w:pPr>
            <w:r/>
            <w:r>
              <w:rPr>
                <w:rFonts w:ascii="Calibri" w:hAnsi="Calibri"/>
                <w:b w:val="0"/>
                <w:i w:val="0"/>
                <w:sz w:val="18"/>
              </w:rPr>
              <w:t>15 %</w:t>
            </w:r>
          </w:p>
        </w:tc>
      </w:tr>
      <w:tr>
        <w:tc>
          <w:tcPr>
            <w:tcW w:type="dxa" w:w="1701"/>
            <w:vAlign w:val="center"/>
            <w:shd w:val="clear" w:color="auto" w:fill="EAF2FB"/>
          </w:tcPr>
          <w:p>
            <w:pPr>
              <w:jc w:val="center"/>
            </w:pPr>
            <w:r/>
            <w:r>
              <w:rPr>
                <w:rFonts w:ascii="Calibri" w:hAnsi="Calibri"/>
                <w:b w:val="0"/>
                <w:i w:val="0"/>
                <w:sz w:val="18"/>
              </w:rPr>
              <w:t>3.1.5.I.3</w:t>
            </w:r>
          </w:p>
        </w:tc>
        <w:tc>
          <w:tcPr>
            <w:tcW w:type="dxa" w:w="5102"/>
            <w:vAlign w:val="center"/>
            <w:shd w:val="clear" w:color="auto" w:fill="EAF2FB"/>
          </w:tcPr>
          <w:p>
            <w:pPr>
              <w:jc w:val="left"/>
            </w:pPr>
            <w:r/>
            <w:r>
              <w:rPr>
                <w:rFonts w:ascii="Calibri" w:hAnsi="Calibri"/>
                <w:b w:val="0"/>
                <w:i w:val="0"/>
                <w:sz w:val="18"/>
              </w:rPr>
              <w:t>Ejecución de técnica analítica en R</w:t>
            </w:r>
          </w:p>
        </w:tc>
        <w:tc>
          <w:tcPr>
            <w:tcW w:type="dxa" w:w="1587"/>
            <w:vAlign w:val="center"/>
            <w:shd w:val="clear" w:color="auto" w:fill="EAF2FB"/>
          </w:tcPr>
          <w:p>
            <w:pPr>
              <w:jc w:val="center"/>
            </w:pPr>
            <w:r/>
            <w:r>
              <w:rPr>
                <w:rFonts w:ascii="Calibri" w:hAnsi="Calibri"/>
                <w:b w:val="0"/>
                <w:i w:val="0"/>
                <w:sz w:val="18"/>
              </w:rPr>
              <w:t>20 pts</w:t>
            </w:r>
          </w:p>
        </w:tc>
        <w:tc>
          <w:tcPr>
            <w:tcW w:type="dxa" w:w="1361"/>
            <w:vAlign w:val="center"/>
            <w:shd w:val="clear" w:color="auto" w:fill="EAF2FB"/>
          </w:tcPr>
          <w:p>
            <w:pPr>
              <w:jc w:val="center"/>
            </w:pPr>
            <w:r/>
            <w:r>
              <w:rPr>
                <w:rFonts w:ascii="Calibri" w:hAnsi="Calibri"/>
                <w:b w:val="0"/>
                <w:i w:val="0"/>
                <w:sz w:val="18"/>
              </w:rPr>
              <w:t>20 %</w:t>
            </w:r>
          </w:p>
        </w:tc>
      </w:tr>
      <w:tr>
        <w:tc>
          <w:tcPr>
            <w:tcW w:type="dxa" w:w="1701"/>
            <w:vAlign w:val="center"/>
            <w:shd w:val="clear" w:color="auto" w:fill="FFFFFF"/>
          </w:tcPr>
          <w:p>
            <w:pPr>
              <w:jc w:val="center"/>
            </w:pPr>
            <w:r/>
            <w:r>
              <w:rPr>
                <w:rFonts w:ascii="Calibri" w:hAnsi="Calibri"/>
                <w:b w:val="0"/>
                <w:i w:val="0"/>
                <w:sz w:val="18"/>
              </w:rPr>
              <w:t>3.1.5.I.4</w:t>
            </w:r>
          </w:p>
        </w:tc>
        <w:tc>
          <w:tcPr>
            <w:tcW w:type="dxa" w:w="5102"/>
            <w:vAlign w:val="center"/>
            <w:shd w:val="clear" w:color="auto" w:fill="FFFFFF"/>
          </w:tcPr>
          <w:p>
            <w:pPr>
              <w:jc w:val="left"/>
            </w:pPr>
            <w:r/>
            <w:r>
              <w:rPr>
                <w:rFonts w:ascii="Calibri" w:hAnsi="Calibri"/>
                <w:b w:val="0"/>
                <w:i w:val="0"/>
                <w:sz w:val="18"/>
              </w:rPr>
              <w:t>Interpretación de resultados y recomendaciones</w:t>
            </w:r>
          </w:p>
        </w:tc>
        <w:tc>
          <w:tcPr>
            <w:tcW w:type="dxa" w:w="1587"/>
            <w:vAlign w:val="center"/>
            <w:shd w:val="clear" w:color="auto" w:fill="FFFFFF"/>
          </w:tcPr>
          <w:p>
            <w:pPr>
              <w:jc w:val="center"/>
            </w:pPr>
            <w:r/>
            <w:r>
              <w:rPr>
                <w:rFonts w:ascii="Calibri" w:hAnsi="Calibri"/>
                <w:b w:val="0"/>
                <w:i w:val="0"/>
                <w:sz w:val="18"/>
              </w:rPr>
              <w:t>20 pts</w:t>
            </w:r>
          </w:p>
        </w:tc>
        <w:tc>
          <w:tcPr>
            <w:tcW w:type="dxa" w:w="1361"/>
            <w:vAlign w:val="center"/>
            <w:shd w:val="clear" w:color="auto" w:fill="FFFFFF"/>
          </w:tcPr>
          <w:p>
            <w:pPr>
              <w:jc w:val="center"/>
            </w:pPr>
            <w:r/>
            <w:r>
              <w:rPr>
                <w:rFonts w:ascii="Calibri" w:hAnsi="Calibri"/>
                <w:b w:val="0"/>
                <w:i w:val="0"/>
                <w:sz w:val="18"/>
              </w:rPr>
              <w:t>20 %</w:t>
            </w:r>
          </w:p>
        </w:tc>
      </w:tr>
      <w:tr>
        <w:tc>
          <w:tcPr>
            <w:tcW w:type="dxa" w:w="1701"/>
            <w:vAlign w:val="center"/>
            <w:shd w:val="clear" w:color="auto" w:fill="EAF2FB"/>
          </w:tcPr>
          <w:p>
            <w:pPr>
              <w:jc w:val="center"/>
            </w:pPr>
            <w:r/>
            <w:r>
              <w:rPr>
                <w:rFonts w:ascii="Calibri" w:hAnsi="Calibri"/>
                <w:b w:val="0"/>
                <w:i w:val="0"/>
                <w:sz w:val="18"/>
              </w:rPr>
              <w:t>3.1.5.I.5</w:t>
            </w:r>
          </w:p>
        </w:tc>
        <w:tc>
          <w:tcPr>
            <w:tcW w:type="dxa" w:w="5102"/>
            <w:vAlign w:val="center"/>
            <w:shd w:val="clear" w:color="auto" w:fill="EAF2FB"/>
          </w:tcPr>
          <w:p>
            <w:pPr>
              <w:jc w:val="left"/>
            </w:pPr>
            <w:r/>
            <w:r>
              <w:rPr>
                <w:rFonts w:ascii="Calibri" w:hAnsi="Calibri"/>
                <w:b w:val="0"/>
                <w:i w:val="0"/>
                <w:sz w:val="18"/>
              </w:rPr>
              <w:t>Dashboard funcional y comunicación visual</w:t>
            </w:r>
          </w:p>
        </w:tc>
        <w:tc>
          <w:tcPr>
            <w:tcW w:type="dxa" w:w="1587"/>
            <w:vAlign w:val="center"/>
            <w:shd w:val="clear" w:color="auto" w:fill="EAF2FB"/>
          </w:tcPr>
          <w:p>
            <w:pPr>
              <w:jc w:val="center"/>
            </w:pPr>
            <w:r/>
            <w:r>
              <w:rPr>
                <w:rFonts w:ascii="Calibri" w:hAnsi="Calibri"/>
                <w:b w:val="0"/>
                <w:i w:val="0"/>
                <w:sz w:val="18"/>
              </w:rPr>
              <w:t>25 pts</w:t>
            </w:r>
          </w:p>
        </w:tc>
        <w:tc>
          <w:tcPr>
            <w:tcW w:type="dxa" w:w="1361"/>
            <w:vAlign w:val="center"/>
            <w:shd w:val="clear" w:color="auto" w:fill="EAF2FB"/>
          </w:tcPr>
          <w:p>
            <w:pPr>
              <w:jc w:val="center"/>
            </w:pPr>
            <w:r/>
            <w:r>
              <w:rPr>
                <w:rFonts w:ascii="Calibri" w:hAnsi="Calibri"/>
                <w:b w:val="0"/>
                <w:i w:val="0"/>
                <w:sz w:val="18"/>
              </w:rPr>
              <w:t>25 %</w:t>
            </w:r>
          </w:p>
        </w:tc>
      </w:tr>
      <w:tr>
        <w:tc>
          <w:tcPr>
            <w:tcW w:type="dxa" w:w="1701"/>
            <w:vAlign w:val="center"/>
            <w:shd w:val="clear" w:color="auto" w:fill="FFFFFF"/>
          </w:tcPr>
          <w:p>
            <w:pPr>
              <w:jc w:val="center"/>
            </w:pPr>
            <w:r/>
            <w:r>
              <w:rPr>
                <w:rFonts w:ascii="Calibri" w:hAnsi="Calibri"/>
                <w:b w:val="0"/>
                <w:i w:val="0"/>
                <w:sz w:val="18"/>
              </w:rPr>
              <w:t>3.1.5.I.6</w:t>
            </w:r>
          </w:p>
        </w:tc>
        <w:tc>
          <w:tcPr>
            <w:tcW w:type="dxa" w:w="5102"/>
            <w:vAlign w:val="center"/>
            <w:shd w:val="clear" w:color="auto" w:fill="FFFFFF"/>
          </w:tcPr>
          <w:p>
            <w:pPr>
              <w:jc w:val="left"/>
            </w:pPr>
            <w:r/>
            <w:r>
              <w:rPr>
                <w:rFonts w:ascii="Calibri" w:hAnsi="Calibri"/>
                <w:b w:val="0"/>
                <w:i w:val="0"/>
                <w:sz w:val="18"/>
              </w:rPr>
              <w:t>Presentación y defensa del trabajo</w:t>
            </w:r>
          </w:p>
        </w:tc>
        <w:tc>
          <w:tcPr>
            <w:tcW w:type="dxa" w:w="1587"/>
            <w:vAlign w:val="center"/>
            <w:shd w:val="clear" w:color="auto" w:fill="FFFFFF"/>
          </w:tcPr>
          <w:p>
            <w:pPr>
              <w:jc w:val="center"/>
            </w:pPr>
            <w:r/>
            <w:r>
              <w:rPr>
                <w:rFonts w:ascii="Calibri" w:hAnsi="Calibri"/>
                <w:b w:val="0"/>
                <w:i w:val="0"/>
                <w:sz w:val="18"/>
              </w:rPr>
              <w:t>10 pts</w:t>
            </w:r>
          </w:p>
        </w:tc>
        <w:tc>
          <w:tcPr>
            <w:tcW w:type="dxa" w:w="1361"/>
            <w:vAlign w:val="center"/>
            <w:shd w:val="clear" w:color="auto" w:fill="FFFFFF"/>
          </w:tcPr>
          <w:p>
            <w:pPr>
              <w:jc w:val="center"/>
            </w:pPr>
            <w:r/>
            <w:r>
              <w:rPr>
                <w:rFonts w:ascii="Calibri" w:hAnsi="Calibri"/>
                <w:b w:val="0"/>
                <w:i w:val="0"/>
                <w:sz w:val="18"/>
              </w:rPr>
              <w:t>10 %</w:t>
            </w:r>
          </w:p>
        </w:tc>
      </w:tr>
      <w:tr>
        <w:tc>
          <w:tcPr>
            <w:tcW w:type="dxa" w:w="1701"/>
            <w:vAlign w:val="center"/>
            <w:shd w:val="clear" w:color="auto" w:fill="2E4A7A"/>
          </w:tcPr>
          <w:p>
            <w:pPr>
              <w:jc w:val="center"/>
            </w:pPr>
            <w:r/>
            <w:r>
              <w:rPr>
                <w:rFonts w:ascii="Calibri" w:hAnsi="Calibri"/>
                <w:b/>
                <w:i w:val="0"/>
                <w:color w:val="FFFFFF"/>
                <w:sz w:val="18"/>
              </w:rPr>
              <w:t>TOTAL</w:t>
            </w:r>
          </w:p>
        </w:tc>
        <w:tc>
          <w:tcPr>
            <w:tcW w:type="dxa" w:w="5102"/>
            <w:vAlign w:val="center"/>
            <w:shd w:val="clear" w:color="auto" w:fill="2E4A7A"/>
          </w:tcPr>
          <w:p>
            <w:pPr>
              <w:jc w:val="left"/>
            </w:pPr>
            <w:r/>
            <w:r>
              <w:rPr>
                <w:rFonts w:ascii="Calibri" w:hAnsi="Calibri"/>
                <w:b/>
                <w:i w:val="0"/>
                <w:color w:val="FFFFFF"/>
                <w:sz w:val="18"/>
              </w:rPr>
            </w:r>
          </w:p>
        </w:tc>
        <w:tc>
          <w:tcPr>
            <w:tcW w:type="dxa" w:w="1587"/>
            <w:vAlign w:val="center"/>
            <w:shd w:val="clear" w:color="auto" w:fill="2E4A7A"/>
          </w:tcPr>
          <w:p>
            <w:pPr>
              <w:jc w:val="center"/>
            </w:pPr>
            <w:r/>
            <w:r>
              <w:rPr>
                <w:rFonts w:ascii="Calibri" w:hAnsi="Calibri"/>
                <w:b/>
                <w:i w:val="0"/>
                <w:color w:val="FFFFFF"/>
                <w:sz w:val="18"/>
              </w:rPr>
              <w:t>100 pts</w:t>
            </w:r>
          </w:p>
        </w:tc>
        <w:tc>
          <w:tcPr>
            <w:tcW w:type="dxa" w:w="1361"/>
            <w:vAlign w:val="center"/>
            <w:shd w:val="clear" w:color="auto" w:fill="2E4A7A"/>
          </w:tcPr>
          <w:p>
            <w:pPr>
              <w:jc w:val="center"/>
            </w:pPr>
            <w:r/>
            <w:r>
              <w:rPr>
                <w:rFonts w:ascii="Calibri" w:hAnsi="Calibri"/>
                <w:b/>
                <w:i w:val="0"/>
                <w:color w:val="FFFFFF"/>
                <w:sz w:val="18"/>
              </w:rPr>
              <w:t>100 %</w:t>
            </w:r>
          </w:p>
        </w:tc>
      </w:tr>
    </w:tbl>
    <w:p/>
    <w:p>
      <w:r>
        <w:rPr>
          <w:rFonts w:ascii="Calibri" w:hAnsi="Calibri"/>
          <w:b/>
          <w:i w:val="0"/>
          <w:color w:val="1B2A4A"/>
          <w:sz w:val="24"/>
        </w:rPr>
        <w:t>Descripción de los Niveles de Desempeño</w:t>
      </w:r>
    </w:p>
    <w:tbl>
      <w:tblPr>
        <w:tblStyle w:val="TableGrid"/>
        <w:tblW w:type="auto" w:w="0"/>
        <w:jc w:val="center"/>
        <w:tblLook w:firstColumn="1" w:firstRow="1" w:lastColumn="0" w:lastRow="0" w:noHBand="0" w:noVBand="1" w:val="04A0"/>
      </w:tblPr>
      <w:tblGrid>
        <w:gridCol w:w="4873"/>
        <w:gridCol w:w="4873"/>
      </w:tblGrid>
      <w:tr>
        <w:tc>
          <w:tcPr>
            <w:tcW w:type="dxa" w:w="1587"/>
            <w:vAlign w:val="center"/>
            <w:shd w:val="clear" w:color="auto" w:fill="1B2A4A"/>
          </w:tcPr>
          <w:p>
            <w:pPr>
              <w:jc w:val="center"/>
            </w:pPr>
            <w:r/>
            <w:r>
              <w:rPr>
                <w:rFonts w:ascii="Calibri" w:hAnsi="Calibri"/>
                <w:b/>
                <w:i w:val="0"/>
                <w:color w:val="FFFFFF"/>
                <w:sz w:val="19"/>
              </w:rPr>
              <w:t>Nivel</w:t>
            </w:r>
          </w:p>
        </w:tc>
        <w:tc>
          <w:tcPr>
            <w:tcW w:type="dxa" w:w="8164"/>
            <w:vAlign w:val="center"/>
            <w:shd w:val="clear" w:color="auto" w:fill="1B2A4A"/>
          </w:tcPr>
          <w:p>
            <w:pPr>
              <w:jc w:val="center"/>
            </w:pPr>
            <w:r/>
            <w:r>
              <w:rPr>
                <w:rFonts w:ascii="Calibri" w:hAnsi="Calibri"/>
                <w:b/>
                <w:i w:val="0"/>
                <w:color w:val="FFFFFF"/>
                <w:sz w:val="19"/>
              </w:rPr>
              <w:t>Descripción</w:t>
            </w:r>
          </w:p>
        </w:tc>
      </w:tr>
      <w:tr>
        <w:tc>
          <w:tcPr>
            <w:tcW w:type="dxa" w:w="4873"/>
            <w:vAlign w:val="center"/>
            <w:shd w:val="clear" w:color="auto" w:fill="27AE60"/>
          </w:tcPr>
          <w:p>
            <w:pPr>
              <w:jc w:val="center"/>
            </w:pPr>
            <w:r/>
            <w:r>
              <w:rPr>
                <w:rFonts w:ascii="Calibri" w:hAnsi="Calibri"/>
                <w:b/>
                <w:i w:val="0"/>
                <w:color w:val="FFFFFF"/>
                <w:sz w:val="19"/>
              </w:rPr>
              <w:t>Experto</w:t>
            </w:r>
          </w:p>
        </w:tc>
        <w:tc>
          <w:tcPr>
            <w:tcW w:type="dxa" w:w="4873"/>
            <w:vAlign w:val="center"/>
            <w:shd w:val="clear" w:color="auto" w:fill="F2F3F4"/>
          </w:tcPr>
          <w:p>
            <w:pPr>
              <w:jc w:val="left"/>
            </w:pPr>
            <w:r/>
            <w:r>
              <w:rPr>
                <w:rFonts w:ascii="Calibri" w:hAnsi="Calibri"/>
                <w:b w:val="0"/>
                <w:i w:val="0"/>
                <w:sz w:val="18"/>
              </w:rPr>
              <w:t>Demuestra dominio sólido, reflexivo y adaptable. Aplica la competencia en contextos nuevos o complejos con autonomía, criterio profesional y responsabilidad.</w:t>
            </w:r>
          </w:p>
        </w:tc>
      </w:tr>
      <w:tr>
        <w:tc>
          <w:tcPr>
            <w:tcW w:type="dxa" w:w="4873"/>
            <w:vAlign w:val="center"/>
            <w:shd w:val="clear" w:color="auto" w:fill="2980B9"/>
          </w:tcPr>
          <w:p>
            <w:pPr>
              <w:jc w:val="center"/>
            </w:pPr>
            <w:r/>
            <w:r>
              <w:rPr>
                <w:rFonts w:ascii="Calibri" w:hAnsi="Calibri"/>
                <w:b/>
                <w:i w:val="0"/>
                <w:color w:val="FFFFFF"/>
                <w:sz w:val="19"/>
              </w:rPr>
              <w:t>Competente</w:t>
            </w:r>
          </w:p>
        </w:tc>
        <w:tc>
          <w:tcPr>
            <w:tcW w:type="dxa" w:w="4873"/>
            <w:vAlign w:val="center"/>
            <w:shd w:val="clear" w:color="auto" w:fill="FFFFFF"/>
          </w:tcPr>
          <w:p>
            <w:pPr>
              <w:jc w:val="left"/>
            </w:pPr>
            <w:r/>
            <w:r>
              <w:rPr>
                <w:rFonts w:ascii="Calibri" w:hAnsi="Calibri"/>
                <w:b w:val="0"/>
                <w:i w:val="0"/>
                <w:sz w:val="18"/>
              </w:rPr>
              <w:t>Actúa con autonomía en contextos habituales. Integra conocimientos, habilidades y actitudes con coherencia. Adapta su desempeño ante variaciones predecibles.</w:t>
            </w:r>
          </w:p>
        </w:tc>
      </w:tr>
      <w:tr>
        <w:tc>
          <w:tcPr>
            <w:tcW w:type="dxa" w:w="4873"/>
            <w:vAlign w:val="center"/>
            <w:shd w:val="clear" w:color="auto" w:fill="E67E22"/>
          </w:tcPr>
          <w:p>
            <w:pPr>
              <w:jc w:val="center"/>
            </w:pPr>
            <w:r/>
            <w:r>
              <w:rPr>
                <w:rFonts w:ascii="Calibri" w:hAnsi="Calibri"/>
                <w:b/>
                <w:i w:val="0"/>
                <w:color w:val="FFFFFF"/>
                <w:sz w:val="19"/>
              </w:rPr>
              <w:t>Elemental</w:t>
            </w:r>
          </w:p>
        </w:tc>
        <w:tc>
          <w:tcPr>
            <w:tcW w:type="dxa" w:w="4873"/>
            <w:vAlign w:val="center"/>
            <w:shd w:val="clear" w:color="auto" w:fill="F2F3F4"/>
          </w:tcPr>
          <w:p>
            <w:pPr>
              <w:jc w:val="left"/>
            </w:pPr>
            <w:r/>
            <w:r>
              <w:rPr>
                <w:rFonts w:ascii="Calibri" w:hAnsi="Calibri"/>
                <w:b w:val="0"/>
                <w:i w:val="0"/>
                <w:sz w:val="18"/>
              </w:rPr>
              <w:t>Ejecuta tareas con apoyo ocasional. Integra conocimientos y habilidades en contextos familiares. Evidencia comprensión funcional, pero con limitaciones en autonomía y transferencia.</w:t>
            </w:r>
          </w:p>
        </w:tc>
      </w:tr>
      <w:tr>
        <w:tc>
          <w:tcPr>
            <w:tcW w:type="dxa" w:w="4873"/>
            <w:vAlign w:val="center"/>
            <w:shd w:val="clear" w:color="auto" w:fill="C0392B"/>
          </w:tcPr>
          <w:p>
            <w:pPr>
              <w:jc w:val="center"/>
            </w:pPr>
            <w:r/>
            <w:r>
              <w:rPr>
                <w:rFonts w:ascii="Calibri" w:hAnsi="Calibri"/>
                <w:b/>
                <w:i w:val="0"/>
                <w:color w:val="FFFFFF"/>
                <w:sz w:val="19"/>
              </w:rPr>
              <w:t>Inicial</w:t>
            </w:r>
          </w:p>
        </w:tc>
        <w:tc>
          <w:tcPr>
            <w:tcW w:type="dxa" w:w="4873"/>
            <w:vAlign w:val="center"/>
            <w:shd w:val="clear" w:color="auto" w:fill="FFFFFF"/>
          </w:tcPr>
          <w:p>
            <w:pPr>
              <w:jc w:val="left"/>
            </w:pPr>
            <w:r/>
            <w:r>
              <w:rPr>
                <w:rFonts w:ascii="Calibri" w:hAnsi="Calibri"/>
                <w:b w:val="0"/>
                <w:i w:val="0"/>
                <w:sz w:val="18"/>
              </w:rPr>
              <w:t>Requiere apoyo constante. Aplica conocimientos y procedimientos de manera fragmentada, con errores frecuentes. Muestra comprensión incipiente y escasa autonomía.</w:t>
            </w:r>
          </w:p>
        </w:tc>
      </w:tr>
      <w:tr>
        <w:tc>
          <w:tcPr>
            <w:tcW w:type="dxa" w:w="4873"/>
            <w:vAlign w:val="center"/>
            <w:shd w:val="clear" w:color="auto" w:fill="4A4A4A"/>
          </w:tcPr>
          <w:p>
            <w:pPr>
              <w:jc w:val="center"/>
            </w:pPr>
            <w:r/>
            <w:r>
              <w:rPr>
                <w:rFonts w:ascii="Calibri" w:hAnsi="Calibri"/>
                <w:b/>
                <w:i w:val="0"/>
                <w:color w:val="FFFFFF"/>
                <w:sz w:val="19"/>
              </w:rPr>
              <w:t>Ausente</w:t>
            </w:r>
          </w:p>
        </w:tc>
        <w:tc>
          <w:tcPr>
            <w:tcW w:type="dxa" w:w="4873"/>
            <w:vAlign w:val="center"/>
            <w:shd w:val="clear" w:color="auto" w:fill="F2F3F4"/>
          </w:tcPr>
          <w:p>
            <w:pPr>
              <w:jc w:val="left"/>
            </w:pPr>
            <w:r/>
            <w:r>
              <w:rPr>
                <w:rFonts w:ascii="Calibri" w:hAnsi="Calibri"/>
                <w:b w:val="0"/>
                <w:i w:val="0"/>
                <w:sz w:val="18"/>
              </w:rPr>
              <w:t>No presenta evidencias de desempeño. No entrega el producto, ni participa en la instancia evaluativa correspondiente. Carece de elementos observables que permitan valorar la competencia o los criterios definidos.</w:t>
            </w:r>
          </w:p>
        </w:tc>
      </w:tr>
    </w:tbl>
    <w:p/>
    <w:p>
      <w:r>
        <w:rPr>
          <w:rFonts w:ascii="Calibri" w:hAnsi="Calibri"/>
          <w:b/>
          <w:i w:val="0"/>
          <w:color w:val="1B2A4A"/>
          <w:sz w:val="24"/>
        </w:rPr>
        <w:t>Criterios Detallados por Indicador</w:t>
      </w:r>
    </w:p>
    <w:p>
      <w:pPr>
        <w:spacing w:before="200"/>
      </w:pPr>
      <w:r>
        <w:rPr>
          <w:rFonts w:ascii="Calibri" w:hAnsi="Calibri"/>
          <w:b/>
          <w:i w:val="0"/>
          <w:color w:val="1B2A4A"/>
          <w:sz w:val="22"/>
        </w:rPr>
        <w:t>3.1.5.I.1 — Definición del problema, decisión, audiencia, unidad de análisis y KPI</w:t>
      </w:r>
    </w:p>
    <w:p>
      <w:pPr>
        <w:spacing w:before="40"/>
      </w:pPr>
      <w:r>
        <w:rPr>
          <w:rFonts w:ascii="Calibri" w:hAnsi="Calibri"/>
          <w:b w:val="0"/>
          <w:i/>
          <w:color w:val="555555"/>
          <w:sz w:val="19"/>
        </w:rPr>
        <w:t>Define el problema, la decisión, la audiencia, la unidad de análisis y KPI accionables y coherentes con el propósito del dashboard.</w:t>
      </w:r>
      <w:r>
        <w:rPr>
          <w:rFonts w:ascii="Calibri" w:hAnsi="Calibri"/>
          <w:b/>
          <w:i w:val="0"/>
          <w:color w:val="2E86AB"/>
          <w:sz w:val="19"/>
        </w:rPr>
        <w:t xml:space="preserve">  |  Puntaje máximo: 10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2 pts</w:t>
            </w:r>
          </w:p>
        </w:tc>
        <w:tc>
          <w:tcPr>
            <w:tcW w:type="dxa" w:w="7313"/>
            <w:vAlign w:val="center"/>
            <w:shd w:val="clear" w:color="auto" w:fill="FFFFFF"/>
          </w:tcPr>
          <w:p>
            <w:pPr>
              <w:jc w:val="left"/>
            </w:pPr>
            <w:r/>
            <w:r>
              <w:rPr>
                <w:rFonts w:ascii="Calibri" w:hAnsi="Calibri"/>
                <w:b w:val="0"/>
                <w:i w:val="0"/>
                <w:sz w:val="18"/>
              </w:rPr>
              <w:t>No existe una pregunta clara o los KPI no permiten apoyar una decisión.</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6 pts</w:t>
            </w:r>
          </w:p>
        </w:tc>
        <w:tc>
          <w:tcPr>
            <w:tcW w:type="dxa" w:w="7313"/>
            <w:vAlign w:val="center"/>
            <w:shd w:val="clear" w:color="auto" w:fill="EAF2FB"/>
          </w:tcPr>
          <w:p>
            <w:pPr>
              <w:jc w:val="left"/>
            </w:pPr>
            <w:r/>
            <w:r>
              <w:rPr>
                <w:rFonts w:ascii="Calibri" w:hAnsi="Calibri"/>
                <w:b w:val="0"/>
                <w:i w:val="0"/>
                <w:sz w:val="18"/>
              </w:rPr>
              <w:t>El problema es general o los KPI tienen relación parcial con la decisión.</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8 pts</w:t>
            </w:r>
          </w:p>
        </w:tc>
        <w:tc>
          <w:tcPr>
            <w:tcW w:type="dxa" w:w="7313"/>
            <w:vAlign w:val="center"/>
            <w:shd w:val="clear" w:color="auto" w:fill="FFFFFF"/>
          </w:tcPr>
          <w:p>
            <w:pPr>
              <w:jc w:val="left"/>
            </w:pPr>
            <w:r/>
            <w:r>
              <w:rPr>
                <w:rFonts w:ascii="Calibri" w:hAnsi="Calibri"/>
                <w:b w:val="0"/>
                <w:i w:val="0"/>
                <w:sz w:val="18"/>
              </w:rPr>
              <w:t>Define adecuadamente el problema y los KPI, con pequeñas imprecisiones en audiencia, alcance o decisión.</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10 pts</w:t>
            </w:r>
          </w:p>
        </w:tc>
        <w:tc>
          <w:tcPr>
            <w:tcW w:type="dxa" w:w="7313"/>
            <w:vAlign w:val="center"/>
            <w:shd w:val="clear" w:color="auto" w:fill="EAF2FB"/>
          </w:tcPr>
          <w:p>
            <w:pPr>
              <w:jc w:val="left"/>
            </w:pPr>
            <w:r/>
            <w:r>
              <w:rPr>
                <w:rFonts w:ascii="Calibri" w:hAnsi="Calibri"/>
                <w:b w:val="0"/>
                <w:i w:val="0"/>
                <w:sz w:val="18"/>
              </w:rPr>
              <w:t>Define con precisión el problema, la decisión, la audiencia, la unidad de análisis y KPI accionables y coherentes.</w:t>
            </w:r>
          </w:p>
        </w:tc>
      </w:tr>
    </w:tbl>
    <w:p/>
    <w:p>
      <w:pPr>
        <w:spacing w:before="200"/>
      </w:pPr>
      <w:r>
        <w:rPr>
          <w:rFonts w:ascii="Calibri" w:hAnsi="Calibri"/>
          <w:b/>
          <w:i w:val="0"/>
          <w:color w:val="1B2A4A"/>
          <w:sz w:val="22"/>
        </w:rPr>
        <w:t>3.1.5.I.2 — Preparación y control de calidad de datos</w:t>
      </w:r>
    </w:p>
    <w:p>
      <w:pPr>
        <w:spacing w:before="40"/>
      </w:pPr>
      <w:r>
        <w:rPr>
          <w:rFonts w:ascii="Calibri" w:hAnsi="Calibri"/>
          <w:b w:val="0"/>
          <w:i/>
          <w:color w:val="555555"/>
          <w:sz w:val="19"/>
        </w:rPr>
        <w:t>Prepara y controla la calidad de los datos, aplicando reglas pertinentes y documentando tratamientos, origen, cambios y evidencia de forma reproducible.</w:t>
      </w:r>
      <w:r>
        <w:rPr>
          <w:rFonts w:ascii="Calibri" w:hAnsi="Calibri"/>
          <w:b/>
          <w:i w:val="0"/>
          <w:color w:val="2E86AB"/>
          <w:sz w:val="19"/>
        </w:rPr>
        <w:t xml:space="preserve">  |  Puntaje máximo: 15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3 pts</w:t>
            </w:r>
          </w:p>
        </w:tc>
        <w:tc>
          <w:tcPr>
            <w:tcW w:type="dxa" w:w="7313"/>
            <w:vAlign w:val="center"/>
            <w:shd w:val="clear" w:color="auto" w:fill="FFFFFF"/>
          </w:tcPr>
          <w:p>
            <w:pPr>
              <w:jc w:val="left"/>
            </w:pPr>
            <w:r/>
            <w:r>
              <w:rPr>
                <w:rFonts w:ascii="Calibri" w:hAnsi="Calibri"/>
                <w:b w:val="0"/>
                <w:i w:val="0"/>
                <w:sz w:val="18"/>
              </w:rPr>
              <w:t>Modifica los datos sin criterios claros, sin trazabilidad o con errores que afectan el análisis.</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9 pts</w:t>
            </w:r>
          </w:p>
        </w:tc>
        <w:tc>
          <w:tcPr>
            <w:tcW w:type="dxa" w:w="7313"/>
            <w:vAlign w:val="center"/>
            <w:shd w:val="clear" w:color="auto" w:fill="EAF2FB"/>
          </w:tcPr>
          <w:p>
            <w:pPr>
              <w:jc w:val="left"/>
            </w:pPr>
            <w:r/>
            <w:r>
              <w:rPr>
                <w:rFonts w:ascii="Calibri" w:hAnsi="Calibri"/>
                <w:b w:val="0"/>
                <w:i w:val="0"/>
                <w:sz w:val="18"/>
              </w:rPr>
              <w:t>Realiza una preparación básica: limpia o transforma datos, pero con controles limitados, sin documentar decisiones o con justificaciones parciales.</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12 pts</w:t>
            </w:r>
          </w:p>
        </w:tc>
        <w:tc>
          <w:tcPr>
            <w:tcW w:type="dxa" w:w="7313"/>
            <w:vAlign w:val="center"/>
            <w:shd w:val="clear" w:color="auto" w:fill="FFFFFF"/>
          </w:tcPr>
          <w:p>
            <w:pPr>
              <w:jc w:val="left"/>
            </w:pPr>
            <w:r/>
            <w:r>
              <w:rPr>
                <w:rFonts w:ascii="Calibri" w:hAnsi="Calibri"/>
                <w:b w:val="0"/>
                <w:i w:val="0"/>
                <w:sz w:val="18"/>
              </w:rPr>
              <w:t>Aplica controles y tratamientos adecuados, aunque la documentación o justificación presenta detalles incompletos.</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15 pts</w:t>
            </w:r>
          </w:p>
        </w:tc>
        <w:tc>
          <w:tcPr>
            <w:tcW w:type="dxa" w:w="7313"/>
            <w:vAlign w:val="center"/>
            <w:shd w:val="clear" w:color="auto" w:fill="EAF2FB"/>
          </w:tcPr>
          <w:p>
            <w:pPr>
              <w:jc w:val="left"/>
            </w:pPr>
            <w:r/>
            <w:r>
              <w:rPr>
                <w:rFonts w:ascii="Calibri" w:hAnsi="Calibri"/>
                <w:b w:val="0"/>
                <w:i w:val="0"/>
                <w:sz w:val="18"/>
              </w:rPr>
              <w:t>Perfila los datos, aplica reglas pertinentes, justifica tratamientos y documenta origen, cambios y evidencia de forma reproducible.</w:t>
            </w:r>
          </w:p>
        </w:tc>
      </w:tr>
    </w:tbl>
    <w:p>
      <w:pPr>
        <w:spacing w:before="60"/>
      </w:pPr>
      <w:r>
        <w:rPr>
          <w:rFonts w:ascii="Calibri" w:hAnsi="Calibri"/>
          <w:b/>
          <w:i w:val="0"/>
          <w:color w:val="B7950B"/>
          <w:sz w:val="17"/>
        </w:rPr>
        <w:t xml:space="preserve">⚠ Nota: </w:t>
      </w:r>
      <w:r>
        <w:rPr>
          <w:rFonts w:ascii="Calibri" w:hAnsi="Calibri"/>
          <w:b w:val="0"/>
          <w:i/>
          <w:color w:val="555555"/>
          <w:sz w:val="17"/>
        </w:rPr>
        <w:t>Criterio Elemental mejorado para mayor especificidad respecto a la preparación básica de datos.</w:t>
      </w:r>
    </w:p>
    <w:p/>
    <w:p>
      <w:pPr>
        <w:spacing w:before="200"/>
      </w:pPr>
      <w:r>
        <w:rPr>
          <w:rFonts w:ascii="Calibri" w:hAnsi="Calibri"/>
          <w:b/>
          <w:i w:val="0"/>
          <w:color w:val="1B2A4A"/>
          <w:sz w:val="22"/>
        </w:rPr>
        <w:t>3.1.5.I.3 — Ejecución de técnica analítica en R</w:t>
      </w:r>
    </w:p>
    <w:p>
      <w:pPr>
        <w:spacing w:before="40"/>
      </w:pPr>
      <w:r>
        <w:rPr>
          <w:rFonts w:ascii="Calibri" w:hAnsi="Calibri"/>
          <w:b w:val="0"/>
          <w:i/>
          <w:color w:val="555555"/>
          <w:sz w:val="19"/>
        </w:rPr>
        <w:t>Ejecuta en R una técnica analítica pertinente, mediante código reproducible, revisando supuestos y presentando resultados técnicamente correctos.</w:t>
      </w:r>
      <w:r>
        <w:rPr>
          <w:rFonts w:ascii="Calibri" w:hAnsi="Calibri"/>
          <w:b/>
          <w:i w:val="0"/>
          <w:color w:val="2E86AB"/>
          <w:sz w:val="19"/>
        </w:rPr>
        <w:t xml:space="preserve">  |  Puntaje máximo: 20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4 pts</w:t>
            </w:r>
          </w:p>
        </w:tc>
        <w:tc>
          <w:tcPr>
            <w:tcW w:type="dxa" w:w="7313"/>
            <w:vAlign w:val="center"/>
            <w:shd w:val="clear" w:color="auto" w:fill="FFFFFF"/>
          </w:tcPr>
          <w:p>
            <w:pPr>
              <w:jc w:val="left"/>
            </w:pPr>
            <w:r/>
            <w:r>
              <w:rPr>
                <w:rFonts w:ascii="Calibri" w:hAnsi="Calibri"/>
                <w:b w:val="0"/>
                <w:i w:val="0"/>
                <w:sz w:val="18"/>
              </w:rPr>
              <w:t>La técnica es inadecuada, el código no es reproducible o los resultados no pueden verificarse.</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12 pts</w:t>
            </w:r>
          </w:p>
        </w:tc>
        <w:tc>
          <w:tcPr>
            <w:tcW w:type="dxa" w:w="7313"/>
            <w:vAlign w:val="center"/>
            <w:shd w:val="clear" w:color="auto" w:fill="EAF2FB"/>
          </w:tcPr>
          <w:p>
            <w:pPr>
              <w:jc w:val="left"/>
            </w:pPr>
            <w:r/>
            <w:r>
              <w:rPr>
                <w:rFonts w:ascii="Calibri" w:hAnsi="Calibri"/>
                <w:b w:val="0"/>
                <w:i w:val="0"/>
                <w:sz w:val="18"/>
              </w:rPr>
              <w:t>La técnica tiene relación parcial con la pregunta o la ejecución presenta errores que limitan la validez.</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16 pts</w:t>
            </w:r>
          </w:p>
        </w:tc>
        <w:tc>
          <w:tcPr>
            <w:tcW w:type="dxa" w:w="7313"/>
            <w:vAlign w:val="center"/>
            <w:shd w:val="clear" w:color="auto" w:fill="FFFFFF"/>
          </w:tcPr>
          <w:p>
            <w:pPr>
              <w:jc w:val="left"/>
            </w:pPr>
            <w:r/>
            <w:r>
              <w:rPr>
                <w:rFonts w:ascii="Calibri" w:hAnsi="Calibri"/>
                <w:b w:val="0"/>
                <w:i w:val="0"/>
                <w:sz w:val="18"/>
              </w:rPr>
              <w:t>La técnica y ejecución son correctas, con omisiones menores en supuestos, diagnósticos o reproducibilidad.</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20 pts</w:t>
            </w:r>
          </w:p>
        </w:tc>
        <w:tc>
          <w:tcPr>
            <w:tcW w:type="dxa" w:w="7313"/>
            <w:vAlign w:val="center"/>
            <w:shd w:val="clear" w:color="auto" w:fill="EAF2FB"/>
          </w:tcPr>
          <w:p>
            <w:pPr>
              <w:jc w:val="left"/>
            </w:pPr>
            <w:r/>
            <w:r>
              <w:rPr>
                <w:rFonts w:ascii="Calibri" w:hAnsi="Calibri"/>
                <w:b w:val="0"/>
                <w:i w:val="0"/>
                <w:sz w:val="18"/>
              </w:rPr>
              <w:t>Selecciona una técnica pertinente, ejecuta código reproducible, revisa supuestos y presenta resultados técnicamente correctos.</w:t>
            </w:r>
          </w:p>
        </w:tc>
      </w:tr>
    </w:tbl>
    <w:p>
      <w:pPr>
        <w:spacing w:before="60"/>
      </w:pPr>
      <w:r>
        <w:rPr>
          <w:rFonts w:ascii="Calibri" w:hAnsi="Calibri"/>
          <w:b/>
          <w:i w:val="0"/>
          <w:color w:val="B7950B"/>
          <w:sz w:val="17"/>
        </w:rPr>
        <w:t xml:space="preserve">⚠ Nota: </w:t>
      </w:r>
      <w:r>
        <w:rPr>
          <w:rFonts w:ascii="Calibri" w:hAnsi="Calibri"/>
          <w:b w:val="0"/>
          <w:i/>
          <w:color w:val="555555"/>
          <w:sz w:val="17"/>
        </w:rPr>
        <w:t>Atención: el salto Inicial→Elemental (8 pts) es mayor que Elemental→Competente (4 pts). Esto penaliza intencionalmente el trabajo deficiente.</w:t>
      </w:r>
    </w:p>
    <w:p/>
    <w:p>
      <w:pPr>
        <w:spacing w:before="200"/>
      </w:pPr>
      <w:r>
        <w:rPr>
          <w:rFonts w:ascii="Calibri" w:hAnsi="Calibri"/>
          <w:b/>
          <w:i w:val="0"/>
          <w:color w:val="1B2A4A"/>
          <w:sz w:val="22"/>
        </w:rPr>
        <w:t>3.1.5.I.4 — Interpretación de resultados y recomendaciones</w:t>
      </w:r>
    </w:p>
    <w:p>
      <w:pPr>
        <w:spacing w:before="40"/>
      </w:pPr>
      <w:r>
        <w:rPr>
          <w:rFonts w:ascii="Calibri" w:hAnsi="Calibri"/>
          <w:b w:val="0"/>
          <w:i/>
          <w:color w:val="555555"/>
          <w:sz w:val="19"/>
        </w:rPr>
        <w:t>Interpreta los resultados considerando magnitud, incertidumbre y limitaciones, y formula recomendaciones proporcionales a la evidencia.</w:t>
      </w:r>
      <w:r>
        <w:rPr>
          <w:rFonts w:ascii="Calibri" w:hAnsi="Calibri"/>
          <w:b/>
          <w:i w:val="0"/>
          <w:color w:val="2E86AB"/>
          <w:sz w:val="19"/>
        </w:rPr>
        <w:t xml:space="preserve">  |  Puntaje máximo: 20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4 pts</w:t>
            </w:r>
          </w:p>
        </w:tc>
        <w:tc>
          <w:tcPr>
            <w:tcW w:type="dxa" w:w="7313"/>
            <w:vAlign w:val="center"/>
            <w:shd w:val="clear" w:color="auto" w:fill="FFFFFF"/>
          </w:tcPr>
          <w:p>
            <w:pPr>
              <w:jc w:val="left"/>
            </w:pPr>
            <w:r/>
            <w:r>
              <w:rPr>
                <w:rFonts w:ascii="Calibri" w:hAnsi="Calibri"/>
                <w:b w:val="0"/>
                <w:i w:val="0"/>
                <w:sz w:val="18"/>
              </w:rPr>
              <w:t>Confunde resultados, exagera conclusiones o formula recomendaciones sin evidencia.</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12 pts</w:t>
            </w:r>
          </w:p>
        </w:tc>
        <w:tc>
          <w:tcPr>
            <w:tcW w:type="dxa" w:w="7313"/>
            <w:vAlign w:val="center"/>
            <w:shd w:val="clear" w:color="auto" w:fill="EAF2FB"/>
          </w:tcPr>
          <w:p>
            <w:pPr>
              <w:jc w:val="left"/>
            </w:pPr>
            <w:r/>
            <w:r>
              <w:rPr>
                <w:rFonts w:ascii="Calibri" w:hAnsi="Calibri"/>
                <w:b w:val="0"/>
                <w:i w:val="0"/>
                <w:sz w:val="18"/>
              </w:rPr>
              <w:t>La interpretación se concentra en métricas aisladas o presenta recomendaciones débilmente sustentadas.</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16 pts</w:t>
            </w:r>
          </w:p>
        </w:tc>
        <w:tc>
          <w:tcPr>
            <w:tcW w:type="dxa" w:w="7313"/>
            <w:vAlign w:val="center"/>
            <w:shd w:val="clear" w:color="auto" w:fill="FFFFFF"/>
          </w:tcPr>
          <w:p>
            <w:pPr>
              <w:jc w:val="left"/>
            </w:pPr>
            <w:r/>
            <w:r>
              <w:rPr>
                <w:rFonts w:ascii="Calibri" w:hAnsi="Calibri"/>
                <w:b w:val="0"/>
                <w:i w:val="0"/>
                <w:sz w:val="18"/>
              </w:rPr>
              <w:t>Interpreta correctamente los resultados y reconoce limitaciones, con menor profundidad en incertidumbre o recomendaciones.</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20 pts</w:t>
            </w:r>
          </w:p>
        </w:tc>
        <w:tc>
          <w:tcPr>
            <w:tcW w:type="dxa" w:w="7313"/>
            <w:vAlign w:val="center"/>
            <w:shd w:val="clear" w:color="auto" w:fill="EAF2FB"/>
          </w:tcPr>
          <w:p>
            <w:pPr>
              <w:jc w:val="left"/>
            </w:pPr>
            <w:r/>
            <w:r>
              <w:rPr>
                <w:rFonts w:ascii="Calibri" w:hAnsi="Calibri"/>
                <w:b w:val="0"/>
                <w:i w:val="0"/>
                <w:sz w:val="18"/>
              </w:rPr>
              <w:t>Interpreta magnitud e incertidumbre, evita afirmar causalidad sin respaldo, declara limitaciones y propone acciones proporcionales.</w:t>
            </w:r>
          </w:p>
        </w:tc>
      </w:tr>
    </w:tbl>
    <w:p>
      <w:pPr>
        <w:spacing w:before="60"/>
      </w:pPr>
      <w:r>
        <w:rPr>
          <w:rFonts w:ascii="Calibri" w:hAnsi="Calibri"/>
          <w:b/>
          <w:i w:val="0"/>
          <w:color w:val="B7950B"/>
          <w:sz w:val="17"/>
        </w:rPr>
        <w:t xml:space="preserve">⚠ Nota: </w:t>
      </w:r>
      <w:r>
        <w:rPr>
          <w:rFonts w:ascii="Calibri" w:hAnsi="Calibri"/>
          <w:b w:val="0"/>
          <w:i/>
          <w:color w:val="555555"/>
          <w:sz w:val="17"/>
        </w:rPr>
        <w:t>Misma estructura de puntajes que I.3: salto pronunciado en nivel bajo, intencional.</w:t>
      </w:r>
    </w:p>
    <w:p/>
    <w:p>
      <w:pPr>
        <w:spacing w:before="200"/>
      </w:pPr>
      <w:r>
        <w:rPr>
          <w:rFonts w:ascii="Calibri" w:hAnsi="Calibri"/>
          <w:b/>
          <w:i w:val="0"/>
          <w:color w:val="1B2A4A"/>
          <w:sz w:val="22"/>
        </w:rPr>
        <w:t>3.1.5.I.5 — Dashboard funcional y comunicación visual</w:t>
      </w:r>
    </w:p>
    <w:p>
      <w:pPr>
        <w:spacing w:before="40"/>
      </w:pPr>
      <w:r>
        <w:rPr>
          <w:rFonts w:ascii="Calibri" w:hAnsi="Calibri"/>
          <w:b w:val="0"/>
          <w:i/>
          <w:color w:val="555555"/>
          <w:sz w:val="19"/>
        </w:rPr>
        <w:t>Sistematiza la información en un dashboard funcional con jerarquía, KPI contextualizados, gráficos adecuados, filtros, accesibilidad y trazabilidad.</w:t>
      </w:r>
      <w:r>
        <w:rPr>
          <w:rFonts w:ascii="Calibri" w:hAnsi="Calibri"/>
          <w:b/>
          <w:i w:val="0"/>
          <w:color w:val="2E86AB"/>
          <w:sz w:val="19"/>
        </w:rPr>
        <w:t xml:space="preserve">  |  Puntaje máximo: 25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5 pts</w:t>
            </w:r>
          </w:p>
        </w:tc>
        <w:tc>
          <w:tcPr>
            <w:tcW w:type="dxa" w:w="7313"/>
            <w:vAlign w:val="center"/>
            <w:shd w:val="clear" w:color="auto" w:fill="FFFFFF"/>
          </w:tcPr>
          <w:p>
            <w:pPr>
              <w:jc w:val="left"/>
            </w:pPr>
            <w:r/>
            <w:r>
              <w:rPr>
                <w:rFonts w:ascii="Calibri" w:hAnsi="Calibri"/>
                <w:b w:val="0"/>
                <w:i w:val="0"/>
                <w:sz w:val="18"/>
              </w:rPr>
              <w:t>El dashboard no es funcional o sus gráficos, escalas y organización pueden inducir interpretaciones incorrectas.</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15 pts</w:t>
            </w:r>
          </w:p>
        </w:tc>
        <w:tc>
          <w:tcPr>
            <w:tcW w:type="dxa" w:w="7313"/>
            <w:vAlign w:val="center"/>
            <w:shd w:val="clear" w:color="auto" w:fill="EAF2FB"/>
          </w:tcPr>
          <w:p>
            <w:pPr>
              <w:jc w:val="left"/>
            </w:pPr>
            <w:r/>
            <w:r>
              <w:rPr>
                <w:rFonts w:ascii="Calibri" w:hAnsi="Calibri"/>
                <w:b w:val="0"/>
                <w:i w:val="0"/>
                <w:sz w:val="18"/>
              </w:rPr>
              <w:t>El panel contiene información relevante, pero está sobrecargado, carece de contexto o dificulta identificar la acción.</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20 pts</w:t>
            </w:r>
          </w:p>
        </w:tc>
        <w:tc>
          <w:tcPr>
            <w:tcW w:type="dxa" w:w="7313"/>
            <w:vAlign w:val="center"/>
            <w:shd w:val="clear" w:color="auto" w:fill="FFFFFF"/>
          </w:tcPr>
          <w:p>
            <w:pPr>
              <w:jc w:val="left"/>
            </w:pPr>
            <w:r/>
            <w:r>
              <w:rPr>
                <w:rFonts w:ascii="Calibri" w:hAnsi="Calibri"/>
                <w:b w:val="0"/>
                <w:i w:val="0"/>
                <w:sz w:val="18"/>
              </w:rPr>
              <w:t>El dashboard comunica los resultados y es funcional, aunque presenta oportunidades menores de jerarquía, contexto o accesibilidad.</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25 pts</w:t>
            </w:r>
          </w:p>
        </w:tc>
        <w:tc>
          <w:tcPr>
            <w:tcW w:type="dxa" w:w="7313"/>
            <w:vAlign w:val="center"/>
            <w:shd w:val="clear" w:color="auto" w:fill="EAF2FB"/>
          </w:tcPr>
          <w:p>
            <w:pPr>
              <w:jc w:val="left"/>
            </w:pPr>
            <w:r/>
            <w:r>
              <w:rPr>
                <w:rFonts w:ascii="Calibri" w:hAnsi="Calibri"/>
                <w:b w:val="0"/>
                <w:i w:val="0"/>
                <w:sz w:val="18"/>
              </w:rPr>
              <w:t>El dashboard posee jerarquía clara, KPI contextualizados, gráficos adecuados, narrativa, filtros pertinentes, accesibilidad y trazabilidad.</w:t>
            </w:r>
          </w:p>
        </w:tc>
      </w:tr>
    </w:tbl>
    <w:p>
      <w:pPr>
        <w:spacing w:before="60"/>
      </w:pPr>
      <w:r>
        <w:rPr>
          <w:rFonts w:ascii="Calibri" w:hAnsi="Calibri"/>
          <w:b/>
          <w:i w:val="0"/>
          <w:color w:val="B7950B"/>
          <w:sz w:val="17"/>
        </w:rPr>
        <w:t xml:space="preserve">⚠ Nota: </w:t>
      </w:r>
      <w:r>
        <w:rPr>
          <w:rFonts w:ascii="Calibri" w:hAnsi="Calibri"/>
          <w:b w:val="0"/>
          <w:i/>
          <w:color w:val="555555"/>
          <w:sz w:val="17"/>
        </w:rPr>
        <w:t>Es el indicador de mayor peso (25 pts), refleja la centralidad del dashboard en la evaluación.</w:t>
      </w:r>
    </w:p>
    <w:p/>
    <w:p>
      <w:pPr>
        <w:spacing w:before="200"/>
      </w:pPr>
      <w:r>
        <w:rPr>
          <w:rFonts w:ascii="Calibri" w:hAnsi="Calibri"/>
          <w:b/>
          <w:i w:val="0"/>
          <w:color w:val="1B2A4A"/>
          <w:sz w:val="22"/>
        </w:rPr>
        <w:t>3.1.5.I.6 — Presentación y defensa del trabajo</w:t>
      </w:r>
    </w:p>
    <w:p>
      <w:pPr>
        <w:spacing w:before="40"/>
      </w:pPr>
      <w:r>
        <w:rPr>
          <w:rFonts w:ascii="Calibri" w:hAnsi="Calibri"/>
          <w:b w:val="0"/>
          <w:i/>
          <w:color w:val="555555"/>
          <w:sz w:val="19"/>
        </w:rPr>
        <w:t>Presenta y defiende el trabajo mediante una narrativa clara, demostrando el dashboard y justificando decisiones metodológicas y de diseño.</w:t>
      </w:r>
      <w:r>
        <w:rPr>
          <w:rFonts w:ascii="Calibri" w:hAnsi="Calibri"/>
          <w:b/>
          <w:i w:val="0"/>
          <w:color w:val="2E86AB"/>
          <w:sz w:val="19"/>
        </w:rPr>
        <w:t xml:space="preserve">  |  Puntaje máximo: 10 pts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shd w:val="clear" w:color="auto" w:fill="2E4A7A"/>
          </w:tcPr>
          <w:p>
            <w:pPr>
              <w:jc w:val="center"/>
            </w:pPr>
            <w:r/>
            <w:r>
              <w:rPr>
                <w:rFonts w:ascii="Calibri" w:hAnsi="Calibri"/>
                <w:b/>
                <w:i w:val="0"/>
                <w:color w:val="FFFFFF"/>
                <w:sz w:val="19"/>
              </w:rPr>
              <w:t>Nivel</w:t>
            </w:r>
          </w:p>
        </w:tc>
        <w:tc>
          <w:tcPr>
            <w:tcW w:type="dxa" w:w="1020"/>
            <w:vAlign w:val="center"/>
            <w:shd w:val="clear" w:color="auto" w:fill="2E4A7A"/>
          </w:tcPr>
          <w:p>
            <w:pPr>
              <w:jc w:val="center"/>
            </w:pPr>
            <w:r/>
            <w:r>
              <w:rPr>
                <w:rFonts w:ascii="Calibri" w:hAnsi="Calibri"/>
                <w:b/>
                <w:i w:val="0"/>
                <w:color w:val="FFFFFF"/>
                <w:sz w:val="19"/>
              </w:rPr>
              <w:t>Puntaje</w:t>
            </w:r>
          </w:p>
        </w:tc>
        <w:tc>
          <w:tcPr>
            <w:tcW w:type="dxa" w:w="7313"/>
            <w:vAlign w:val="center"/>
            <w:shd w:val="clear" w:color="auto" w:fill="2E4A7A"/>
          </w:tcPr>
          <w:p>
            <w:pPr>
              <w:jc w:val="center"/>
            </w:pPr>
            <w:r/>
            <w:r>
              <w:rPr>
                <w:rFonts w:ascii="Calibri" w:hAnsi="Calibri"/>
                <w:b/>
                <w:i w:val="0"/>
                <w:color w:val="FFFFFF"/>
                <w:sz w:val="19"/>
              </w:rPr>
              <w:t>Criterio de evaluación</w:t>
            </w:r>
          </w:p>
        </w:tc>
      </w:tr>
      <w:tr>
        <w:tc>
          <w:tcPr>
            <w:tcW w:type="dxa" w:w="1417"/>
            <w:vAlign w:val="center"/>
            <w:shd w:val="clear" w:color="auto" w:fill="4A4A4A"/>
          </w:tcPr>
          <w:p>
            <w:pPr>
              <w:jc w:val="center"/>
            </w:pPr>
            <w:r/>
            <w:r>
              <w:rPr>
                <w:rFonts w:ascii="Calibri" w:hAnsi="Calibri"/>
                <w:b/>
                <w:i w:val="0"/>
                <w:color w:val="FFFFFF"/>
                <w:sz w:val="19"/>
              </w:rPr>
              <w:t>Ausente</w:t>
            </w:r>
          </w:p>
        </w:tc>
        <w:tc>
          <w:tcPr>
            <w:tcW w:type="dxa" w:w="1020"/>
            <w:vAlign w:val="center"/>
            <w:shd w:val="clear" w:color="auto" w:fill="EAF2FB"/>
          </w:tcPr>
          <w:p>
            <w:pPr>
              <w:jc w:val="center"/>
            </w:pPr>
            <w:r/>
            <w:r>
              <w:rPr>
                <w:rFonts w:ascii="Calibri" w:hAnsi="Calibri"/>
                <w:b/>
                <w:i w:val="0"/>
                <w:color w:val="4A4A4A"/>
                <w:sz w:val="19"/>
              </w:rPr>
              <w:t>0 pts</w:t>
            </w:r>
          </w:p>
        </w:tc>
        <w:tc>
          <w:tcPr>
            <w:tcW w:type="dxa" w:w="7313"/>
            <w:vAlign w:val="center"/>
            <w:shd w:val="clear" w:color="auto" w:fill="EAF2FB"/>
          </w:tcPr>
          <w:p>
            <w:pPr>
              <w:jc w:val="left"/>
            </w:pPr>
            <w:r/>
            <w:r>
              <w:rPr>
                <w:rFonts w:ascii="Calibri" w:hAnsi="Calibri"/>
                <w:b w:val="0"/>
                <w:i w:val="0"/>
                <w:sz w:val="18"/>
              </w:rPr>
              <w:t>No presenta evidencia suficiente para evaluar el indicador.</w:t>
            </w:r>
          </w:p>
        </w:tc>
      </w:tr>
      <w:tr>
        <w:tc>
          <w:tcPr>
            <w:tcW w:type="dxa" w:w="1417"/>
            <w:vAlign w:val="center"/>
            <w:shd w:val="clear" w:color="auto" w:fill="C0392B"/>
          </w:tcPr>
          <w:p>
            <w:pPr>
              <w:jc w:val="center"/>
            </w:pPr>
            <w:r/>
            <w:r>
              <w:rPr>
                <w:rFonts w:ascii="Calibri" w:hAnsi="Calibri"/>
                <w:b/>
                <w:i w:val="0"/>
                <w:color w:val="FFFFFF"/>
                <w:sz w:val="19"/>
              </w:rPr>
              <w:t>Inicial</w:t>
            </w:r>
          </w:p>
        </w:tc>
        <w:tc>
          <w:tcPr>
            <w:tcW w:type="dxa" w:w="1020"/>
            <w:vAlign w:val="center"/>
            <w:shd w:val="clear" w:color="auto" w:fill="FFFFFF"/>
          </w:tcPr>
          <w:p>
            <w:pPr>
              <w:jc w:val="center"/>
            </w:pPr>
            <w:r/>
            <w:r>
              <w:rPr>
                <w:rFonts w:ascii="Calibri" w:hAnsi="Calibri"/>
                <w:b/>
                <w:i w:val="0"/>
                <w:color w:val="C0392B"/>
                <w:sz w:val="19"/>
              </w:rPr>
              <w:t>2 pts</w:t>
            </w:r>
          </w:p>
        </w:tc>
        <w:tc>
          <w:tcPr>
            <w:tcW w:type="dxa" w:w="7313"/>
            <w:vAlign w:val="center"/>
            <w:shd w:val="clear" w:color="auto" w:fill="FFFFFF"/>
          </w:tcPr>
          <w:p>
            <w:pPr>
              <w:jc w:val="left"/>
            </w:pPr>
            <w:r/>
            <w:r>
              <w:rPr>
                <w:rFonts w:ascii="Calibri" w:hAnsi="Calibri"/>
                <w:b w:val="0"/>
                <w:i w:val="0"/>
                <w:sz w:val="18"/>
              </w:rPr>
              <w:t>La exposición es confusa, no demuestra el producto o no permite justificar las decisiones tomadas.</w:t>
            </w:r>
          </w:p>
        </w:tc>
      </w:tr>
      <w:tr>
        <w:tc>
          <w:tcPr>
            <w:tcW w:type="dxa" w:w="1417"/>
            <w:vAlign w:val="center"/>
            <w:shd w:val="clear" w:color="auto" w:fill="E67E22"/>
          </w:tcPr>
          <w:p>
            <w:pPr>
              <w:jc w:val="center"/>
            </w:pPr>
            <w:r/>
            <w:r>
              <w:rPr>
                <w:rFonts w:ascii="Calibri" w:hAnsi="Calibri"/>
                <w:b/>
                <w:i w:val="0"/>
                <w:color w:val="FFFFFF"/>
                <w:sz w:val="19"/>
              </w:rPr>
              <w:t>Elemental</w:t>
            </w:r>
          </w:p>
        </w:tc>
        <w:tc>
          <w:tcPr>
            <w:tcW w:type="dxa" w:w="1020"/>
            <w:vAlign w:val="center"/>
            <w:shd w:val="clear" w:color="auto" w:fill="EAF2FB"/>
          </w:tcPr>
          <w:p>
            <w:pPr>
              <w:jc w:val="center"/>
            </w:pPr>
            <w:r/>
            <w:r>
              <w:rPr>
                <w:rFonts w:ascii="Calibri" w:hAnsi="Calibri"/>
                <w:b/>
                <w:i w:val="0"/>
                <w:color w:val="E67E22"/>
                <w:sz w:val="19"/>
              </w:rPr>
              <w:t>6 pts</w:t>
            </w:r>
          </w:p>
        </w:tc>
        <w:tc>
          <w:tcPr>
            <w:tcW w:type="dxa" w:w="7313"/>
            <w:vAlign w:val="center"/>
            <w:shd w:val="clear" w:color="auto" w:fill="EAF2FB"/>
          </w:tcPr>
          <w:p>
            <w:pPr>
              <w:jc w:val="left"/>
            </w:pPr>
            <w:r/>
            <w:r>
              <w:rPr>
                <w:rFonts w:ascii="Calibri" w:hAnsi="Calibri"/>
                <w:b w:val="0"/>
                <w:i w:val="0"/>
                <w:sz w:val="18"/>
              </w:rPr>
              <w:t>La presentación es descriptiva, poco integrada o depende excesivamente de la lectura.</w:t>
            </w:r>
          </w:p>
        </w:tc>
      </w:tr>
      <w:tr>
        <w:tc>
          <w:tcPr>
            <w:tcW w:type="dxa" w:w="1417"/>
            <w:vAlign w:val="center"/>
            <w:shd w:val="clear" w:color="auto" w:fill="2980B9"/>
          </w:tcPr>
          <w:p>
            <w:pPr>
              <w:jc w:val="center"/>
            </w:pPr>
            <w:r/>
            <w:r>
              <w:rPr>
                <w:rFonts w:ascii="Calibri" w:hAnsi="Calibri"/>
                <w:b/>
                <w:i w:val="0"/>
                <w:color w:val="FFFFFF"/>
                <w:sz w:val="19"/>
              </w:rPr>
              <w:t>Competente</w:t>
            </w:r>
          </w:p>
        </w:tc>
        <w:tc>
          <w:tcPr>
            <w:tcW w:type="dxa" w:w="1020"/>
            <w:vAlign w:val="center"/>
            <w:shd w:val="clear" w:color="auto" w:fill="FFFFFF"/>
          </w:tcPr>
          <w:p>
            <w:pPr>
              <w:jc w:val="center"/>
            </w:pPr>
            <w:r/>
            <w:r>
              <w:rPr>
                <w:rFonts w:ascii="Calibri" w:hAnsi="Calibri"/>
                <w:b/>
                <w:i w:val="0"/>
                <w:color w:val="2980B9"/>
                <w:sz w:val="19"/>
              </w:rPr>
              <w:t>8 pts</w:t>
            </w:r>
          </w:p>
        </w:tc>
        <w:tc>
          <w:tcPr>
            <w:tcW w:type="dxa" w:w="7313"/>
            <w:vAlign w:val="center"/>
            <w:shd w:val="clear" w:color="auto" w:fill="FFFFFF"/>
          </w:tcPr>
          <w:p>
            <w:pPr>
              <w:jc w:val="left"/>
            </w:pPr>
            <w:r/>
            <w:r>
              <w:rPr>
                <w:rFonts w:ascii="Calibri" w:hAnsi="Calibri"/>
                <w:b w:val="0"/>
                <w:i w:val="0"/>
                <w:sz w:val="18"/>
              </w:rPr>
              <w:t>Comunica adecuadamente el trabajo y responde la mayoría de las preguntas, con leves problemas de síntesis o coordinación.</w:t>
            </w:r>
          </w:p>
        </w:tc>
      </w:tr>
      <w:tr>
        <w:tc>
          <w:tcPr>
            <w:tcW w:type="dxa" w:w="1417"/>
            <w:vAlign w:val="center"/>
            <w:shd w:val="clear" w:color="auto" w:fill="27AE60"/>
          </w:tcPr>
          <w:p>
            <w:pPr>
              <w:jc w:val="center"/>
            </w:pPr>
            <w:r/>
            <w:r>
              <w:rPr>
                <w:rFonts w:ascii="Calibri" w:hAnsi="Calibri"/>
                <w:b/>
                <w:i w:val="0"/>
                <w:color w:val="FFFFFF"/>
                <w:sz w:val="19"/>
              </w:rPr>
              <w:t>Experto</w:t>
            </w:r>
          </w:p>
        </w:tc>
        <w:tc>
          <w:tcPr>
            <w:tcW w:type="dxa" w:w="1020"/>
            <w:vAlign w:val="center"/>
            <w:shd w:val="clear" w:color="auto" w:fill="EAF2FB"/>
          </w:tcPr>
          <w:p>
            <w:pPr>
              <w:jc w:val="center"/>
            </w:pPr>
            <w:r/>
            <w:r>
              <w:rPr>
                <w:rFonts w:ascii="Calibri" w:hAnsi="Calibri"/>
                <w:b/>
                <w:i w:val="0"/>
                <w:color w:val="27AE60"/>
                <w:sz w:val="19"/>
              </w:rPr>
              <w:t>10 pts</w:t>
            </w:r>
          </w:p>
        </w:tc>
        <w:tc>
          <w:tcPr>
            <w:tcW w:type="dxa" w:w="7313"/>
            <w:vAlign w:val="center"/>
            <w:shd w:val="clear" w:color="auto" w:fill="EAF2FB"/>
          </w:tcPr>
          <w:p>
            <w:pPr>
              <w:jc w:val="left"/>
            </w:pPr>
            <w:r/>
            <w:r>
              <w:rPr>
                <w:rFonts w:ascii="Calibri" w:hAnsi="Calibri"/>
                <w:b w:val="0"/>
                <w:i w:val="0"/>
                <w:sz w:val="18"/>
              </w:rPr>
              <w:t>Presenta una narrativa clara, demuestra el dashboard, distribuye la participación y responde con fundamento técnico.</w:t>
            </w:r>
          </w:p>
        </w:tc>
      </w:tr>
    </w:tbl>
    <w:p/>
    <w:p>
      <w:r>
        <w:rPr>
          <w:rFonts w:ascii="Calibri" w:hAnsi="Calibri"/>
          <w:b/>
          <w:i w:val="0"/>
          <w:color w:val="1B2A4A"/>
          <w:sz w:val="20"/>
        </w:rPr>
        <w:t>Nota sobre el nivel Ausente</w:t>
      </w:r>
    </w:p>
    <w:p>
      <w:r>
        <w:rPr>
          <w:rFonts w:ascii="Calibri" w:hAnsi="Calibri"/>
          <w:b w:val="0"/>
          <w:i/>
          <w:color w:val="444444"/>
          <w:sz w:val="18"/>
        </w:rPr>
        <w:t>El nivel Ausente se aplica cuando el estudiante no presenta evidencia observable suficiente para valorar el indicador. Esto incluye tanto la no entrega del producto como la entrega de un trabajo que carece completamente de elementos evaluables. Se distingue del nivel Inicial, que implica al menos un intento identificable aunque sea fragmentado o con errores graves.</w:t>
      </w:r>
    </w:p>
    <w:p>
      <w:pPr>
        <w:jc w:val="center"/>
      </w:pPr>
      <w:r>
        <w:rPr>
          <w:rFonts w:ascii="Calibri" w:hAnsi="Calibri"/>
          <w:b w:val="0"/>
          <w:i/>
          <w:color w:val="888888"/>
          <w:sz w:val="16"/>
        </w:rPr>
        <w:t>Puntaje total: 100 puntos  |  Competencia 3.1.5  |  Documento generado automáticamente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