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F201" w14:textId="77777777" w:rsidR="00696697" w:rsidRPr="00274D4F" w:rsidRDefault="00696697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4C560A2" w14:textId="77777777" w:rsidR="003158F4" w:rsidRPr="00274D4F" w:rsidRDefault="003158F4" w:rsidP="003158F4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FAFA9D2" w14:textId="5A1BBD53" w:rsidR="003158F4" w:rsidRPr="005C119B" w:rsidRDefault="00D56E62" w:rsidP="00D56E62">
      <w:pPr>
        <w:jc w:val="center"/>
        <w:rPr>
          <w:sz w:val="36"/>
          <w:szCs w:val="36"/>
        </w:rPr>
      </w:pPr>
      <w:r w:rsidRPr="005C119B">
        <w:rPr>
          <w:rFonts w:ascii="Tahoma" w:hAnsi="Tahoma"/>
          <w:b/>
          <w:color w:val="0F4761"/>
          <w:sz w:val="40"/>
          <w:szCs w:val="36"/>
        </w:rPr>
        <w:t>Análisis de Datos: Compras MOP y MINVU/SERVIU</w:t>
      </w:r>
      <w:r w:rsidRPr="005C119B">
        <w:rPr>
          <w:rFonts w:ascii="Tahoma" w:hAnsi="Tahoma"/>
          <w:b/>
          <w:color w:val="0F4761"/>
          <w:sz w:val="40"/>
          <w:szCs w:val="36"/>
        </w:rPr>
        <w:br/>
        <w:t>en Mercado Público, 2018–2019</w:t>
      </w:r>
    </w:p>
    <w:p w14:paraId="6729A74A" w14:textId="77777777" w:rsidR="000A3562" w:rsidRDefault="000A3562" w:rsidP="000A3562">
      <w:pPr>
        <w:rPr>
          <w:rFonts w:ascii="Myriad Pro" w:hAnsi="Myriad Pro"/>
        </w:rPr>
      </w:pPr>
    </w:p>
    <w:p w14:paraId="7631B646" w14:textId="77777777" w:rsidR="00D56E62" w:rsidRDefault="00D56E62" w:rsidP="000A3562">
      <w:pPr>
        <w:rPr>
          <w:rFonts w:ascii="Myriad Pro" w:hAnsi="Myriad Pro"/>
        </w:rPr>
      </w:pPr>
    </w:p>
    <w:p w14:paraId="363D4EA8" w14:textId="77777777" w:rsidR="00D56E62" w:rsidRDefault="00D56E62" w:rsidP="000A3562">
      <w:pPr>
        <w:rPr>
          <w:rFonts w:ascii="Myriad Pro" w:hAnsi="Myriad Pro"/>
        </w:rPr>
      </w:pPr>
    </w:p>
    <w:p w14:paraId="2561824B" w14:textId="77777777" w:rsidR="00D56E62" w:rsidRDefault="00D56E62" w:rsidP="000A3562">
      <w:pPr>
        <w:rPr>
          <w:rFonts w:ascii="Myriad Pro" w:hAnsi="Myriad Pro"/>
        </w:rPr>
      </w:pPr>
    </w:p>
    <w:p w14:paraId="567F3BCF" w14:textId="77777777" w:rsidR="00D56E62" w:rsidRDefault="00D56E62" w:rsidP="000A3562">
      <w:pPr>
        <w:rPr>
          <w:rFonts w:ascii="Myriad Pro" w:hAnsi="Myriad Pro"/>
        </w:rPr>
      </w:pPr>
    </w:p>
    <w:p w14:paraId="5972F3FA" w14:textId="77777777" w:rsidR="00D56E62" w:rsidRDefault="00D56E62" w:rsidP="000A3562"/>
    <w:p w14:paraId="11CF0130" w14:textId="77777777" w:rsidR="003158F4" w:rsidRDefault="003158F4" w:rsidP="000A3562">
      <w:pPr>
        <w:rPr>
          <w:rFonts w:ascii="Tahoma" w:hAnsi="Tahoma" w:cs="Tahoma"/>
        </w:rPr>
      </w:pPr>
    </w:p>
    <w:p w14:paraId="74260248" w14:textId="77777777" w:rsidR="004F58AB" w:rsidRDefault="000A3562" w:rsidP="004F58AB">
      <w:pPr>
        <w:rPr>
          <w:rFonts w:ascii="Tahoma" w:hAnsi="Tahoma" w:cs="Tahoma"/>
        </w:rPr>
      </w:pPr>
      <w:r w:rsidRPr="003158F4">
        <w:rPr>
          <w:rFonts w:ascii="Tahoma" w:hAnsi="Tahoma" w:cs="Tahoma"/>
        </w:rPr>
        <w:t>NOMBRE:</w:t>
      </w:r>
      <w:r w:rsidR="004F58AB">
        <w:rPr>
          <w:rFonts w:ascii="Tahoma" w:hAnsi="Tahoma" w:cs="Tahoma"/>
        </w:rPr>
        <w:tab/>
        <w:t>José Rivera Pérez</w:t>
      </w:r>
    </w:p>
    <w:p w14:paraId="3AFB2483" w14:textId="250455B3" w:rsidR="004F58AB" w:rsidRDefault="004F58AB" w:rsidP="004F58AB">
      <w:pPr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Alexi Torres Navarrete </w:t>
      </w:r>
    </w:p>
    <w:p w14:paraId="71B55223" w14:textId="477AEBDA" w:rsidR="000A3562" w:rsidRPr="003158F4" w:rsidRDefault="003158F4" w:rsidP="004F58AB">
      <w:pPr>
        <w:rPr>
          <w:rFonts w:ascii="Tahoma" w:hAnsi="Tahoma" w:cs="Tahoma"/>
        </w:rPr>
      </w:pPr>
      <w:r>
        <w:rPr>
          <w:rFonts w:ascii="Tahoma" w:hAnsi="Tahoma" w:cs="Tahoma"/>
        </w:rPr>
        <w:br/>
      </w:r>
      <w:r w:rsidR="000A3562" w:rsidRPr="003158F4">
        <w:rPr>
          <w:rFonts w:ascii="Tahoma" w:hAnsi="Tahoma" w:cs="Tahoma"/>
        </w:rPr>
        <w:t xml:space="preserve">CARRERA: </w:t>
      </w:r>
      <w:r w:rsidR="004F58AB">
        <w:rPr>
          <w:rFonts w:ascii="Tahoma" w:hAnsi="Tahoma" w:cs="Tahoma"/>
        </w:rPr>
        <w:t xml:space="preserve">Ingeniería En Informática </w:t>
      </w:r>
      <w:r>
        <w:rPr>
          <w:rFonts w:ascii="Tahoma" w:hAnsi="Tahoma" w:cs="Tahoma"/>
        </w:rPr>
        <w:br/>
      </w:r>
      <w:r w:rsidR="000A3562" w:rsidRPr="003158F4">
        <w:rPr>
          <w:rFonts w:ascii="Tahoma" w:hAnsi="Tahoma" w:cs="Tahoma"/>
        </w:rPr>
        <w:t xml:space="preserve">ASIGNATURA: </w:t>
      </w:r>
      <w:r w:rsidR="004F58AB">
        <w:rPr>
          <w:rFonts w:ascii="Tahoma" w:hAnsi="Tahoma" w:cs="Tahoma"/>
        </w:rPr>
        <w:t>Minería De Datos</w:t>
      </w:r>
      <w:r>
        <w:rPr>
          <w:rFonts w:ascii="Tahoma" w:hAnsi="Tahoma" w:cs="Tahoma"/>
        </w:rPr>
        <w:br/>
      </w:r>
      <w:r w:rsidR="000A3562" w:rsidRPr="003158F4">
        <w:rPr>
          <w:rFonts w:ascii="Tahoma" w:hAnsi="Tahoma" w:cs="Tahoma"/>
        </w:rPr>
        <w:t>PROFESOR:</w:t>
      </w:r>
      <w:r w:rsidR="004F58AB">
        <w:rPr>
          <w:rFonts w:ascii="Tahoma" w:hAnsi="Tahoma" w:cs="Tahoma"/>
        </w:rPr>
        <w:t xml:space="preserve"> Claudio Muñoz sepulveda </w:t>
      </w:r>
      <w:r>
        <w:rPr>
          <w:rFonts w:ascii="Tahoma" w:hAnsi="Tahoma" w:cs="Tahoma"/>
        </w:rPr>
        <w:br/>
      </w:r>
      <w:r w:rsidR="000A3562" w:rsidRPr="003158F4">
        <w:rPr>
          <w:rFonts w:ascii="Tahoma" w:hAnsi="Tahoma" w:cs="Tahoma"/>
        </w:rPr>
        <w:t>FECHA:</w:t>
      </w:r>
      <w:r w:rsidR="004F58AB">
        <w:rPr>
          <w:rFonts w:ascii="Tahoma" w:hAnsi="Tahoma" w:cs="Tahoma"/>
        </w:rPr>
        <w:t xml:space="preserve"> 07/10/2026</w:t>
      </w:r>
    </w:p>
    <w:p w14:paraId="541D0F36" w14:textId="77777777" w:rsidR="000A3562" w:rsidRDefault="000A3562" w:rsidP="000A3562"/>
    <w:p w14:paraId="79DD6640" w14:textId="77777777" w:rsidR="000A3562" w:rsidRDefault="000A3562" w:rsidP="000A3562"/>
    <w:p w14:paraId="3DA8AB13" w14:textId="77777777" w:rsidR="000A3562" w:rsidRDefault="000A3562" w:rsidP="000A3562"/>
    <w:p w14:paraId="0AB7BB1E" w14:textId="77777777" w:rsidR="000A3562" w:rsidRDefault="000A3562" w:rsidP="000A3562"/>
    <w:p w14:paraId="45921EC0" w14:textId="77777777" w:rsidR="000A3562" w:rsidRDefault="000A3562" w:rsidP="000A3562">
      <w:r>
        <w:t xml:space="preserve"> </w:t>
      </w:r>
    </w:p>
    <w:p w14:paraId="11B29614" w14:textId="77777777" w:rsidR="000A3562" w:rsidRDefault="000A3562" w:rsidP="000A3562"/>
    <w:p w14:paraId="144DBA46" w14:textId="77777777" w:rsidR="000A3562" w:rsidRDefault="000A3562" w:rsidP="000A3562"/>
    <w:p w14:paraId="00BB45ED" w14:textId="77777777" w:rsidR="000A3562" w:rsidRDefault="000A3562" w:rsidP="000A3562"/>
    <w:p w14:paraId="743B1C07" w14:textId="77777777" w:rsidR="000A3562" w:rsidRDefault="000A3562" w:rsidP="000A3562"/>
    <w:p w14:paraId="4FB1F290" w14:textId="77777777" w:rsidR="000A3562" w:rsidRDefault="000A3562" w:rsidP="000A3562"/>
    <w:p w14:paraId="170C9685" w14:textId="77777777" w:rsidR="000A3562" w:rsidRDefault="000A3562" w:rsidP="000A3562"/>
    <w:p w14:paraId="51DAF86F" w14:textId="77777777" w:rsidR="003158F4" w:rsidRDefault="003158F4" w:rsidP="000A3562"/>
    <w:p w14:paraId="4997F38D" w14:textId="77777777" w:rsidR="003158F4" w:rsidRDefault="003158F4" w:rsidP="000A3562"/>
    <w:p w14:paraId="3E9F8B32" w14:textId="7777777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t>Resumen Ejecutivo</w:t>
      </w:r>
    </w:p>
    <w:p w14:paraId="09ABDEF3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El presente informe analiza 93.207 Órdenes de Compra (OC) emitidas por el Ministerio de Obras Públicas (MOP) y MINVU/SERVIU durante 2018-2019, trazadas a través del portal Mercado Público de ChileCompra. El monto total transado ascendió a .166 MM CLP, representando el 17,2% del gasto institucional total.</w:t>
      </w:r>
    </w:p>
    <w:p w14:paraId="2194C554" w14:textId="77777777" w:rsidR="004F58AB" w:rsidRDefault="004F58AB" w:rsidP="004F58AB">
      <w:pPr>
        <w:spacing w:after="1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Mediante modelos de regresión log-log con errores robustos HC1 (Python / statsmodels), se identificó una relación positiva e inelástica (β₁ &lt; 1) entre el presupuesto de inversión MOP y el volumen de compras digitalizadas. El análisis revela concentración de gasto en el Q4 (36,6%) y un 28,7% del monto canalizado vía Trato Directo, constituyendo alertas de gestión accionables.</w:t>
      </w:r>
    </w:p>
    <w:p w14:paraId="31C9A80F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1C9E3794" w14:textId="77777777" w:rsidR="004F58AB" w:rsidRPr="004F58AB" w:rsidRDefault="004F58AB" w:rsidP="004F58AB">
      <w:pPr>
        <w:spacing w:after="1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 xml:space="preserve">Enlace: </w:t>
      </w:r>
      <w:hyperlink r:id="rId6" w:history="1">
        <w:r w:rsidRPr="004F58AB">
          <w:rPr>
            <w:rStyle w:val="Hipervnculo"/>
            <w:rFonts w:ascii="Tahoma" w:hAnsi="Tahoma"/>
            <w:sz w:val="22"/>
          </w:rPr>
          <w:t>mineria eva</w:t>
        </w:r>
      </w:hyperlink>
    </w:p>
    <w:p w14:paraId="7D286B3E" w14:textId="7CC6F4AA" w:rsidR="004F58AB" w:rsidRDefault="004F58AB" w:rsidP="004F58AB">
      <w:pPr>
        <w:spacing w:after="120"/>
      </w:pPr>
    </w:p>
    <w:p w14:paraId="6362F211" w14:textId="77777777" w:rsidR="004F58AB" w:rsidRDefault="004F58AB" w:rsidP="004F58AB"/>
    <w:p w14:paraId="65ED6C1C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7D7A2BFF" wp14:editId="52F6DDC8">
            <wp:extent cx="5303520" cy="19693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6AA0" w14:textId="77777777" w:rsidR="004F58AB" w:rsidRDefault="004F58AB" w:rsidP="004F58AB">
      <w:pPr>
        <w:jc w:val="center"/>
        <w:rPr>
          <w:rFonts w:ascii="Tahoma" w:hAnsi="Tahoma"/>
          <w:color w:val="0F4761"/>
          <w:sz w:val="18"/>
        </w:rPr>
      </w:pPr>
      <w:r>
        <w:rPr>
          <w:rFonts w:ascii="Tahoma" w:hAnsi="Tahoma"/>
          <w:color w:val="0F4761"/>
          <w:sz w:val="18"/>
        </w:rPr>
        <w:t>Tabla 2. KPIs accionables del análisis</w:t>
      </w:r>
    </w:p>
    <w:p w14:paraId="4621E917" w14:textId="77777777" w:rsidR="004F58AB" w:rsidRDefault="004F58AB" w:rsidP="004F58AB">
      <w:pPr>
        <w:jc w:val="center"/>
        <w:rPr>
          <w:rFonts w:ascii="Tahoma" w:hAnsi="Tahoma"/>
          <w:color w:val="0F4761"/>
          <w:sz w:val="18"/>
        </w:rPr>
      </w:pPr>
    </w:p>
    <w:p w14:paraId="4CDE51F9" w14:textId="77777777" w:rsidR="004F58AB" w:rsidRDefault="004F58AB" w:rsidP="004F58AB">
      <w:pPr>
        <w:jc w:val="center"/>
        <w:rPr>
          <w:rFonts w:ascii="Tahoma" w:hAnsi="Tahoma"/>
          <w:color w:val="0F4761"/>
          <w:sz w:val="18"/>
        </w:rPr>
      </w:pPr>
    </w:p>
    <w:p w14:paraId="59B4529C" w14:textId="77777777" w:rsidR="004F58AB" w:rsidRDefault="004F58AB" w:rsidP="004F58AB">
      <w:pPr>
        <w:jc w:val="center"/>
        <w:rPr>
          <w:rFonts w:ascii="Tahoma" w:hAnsi="Tahoma"/>
          <w:color w:val="0F4761"/>
          <w:sz w:val="18"/>
        </w:rPr>
      </w:pPr>
    </w:p>
    <w:p w14:paraId="1490EC70" w14:textId="77777777" w:rsidR="004F58AB" w:rsidRDefault="004F58AB" w:rsidP="004F58AB">
      <w:pPr>
        <w:jc w:val="center"/>
        <w:rPr>
          <w:rFonts w:ascii="Tahoma" w:hAnsi="Tahoma"/>
          <w:color w:val="0F4761"/>
          <w:sz w:val="18"/>
        </w:rPr>
      </w:pPr>
    </w:p>
    <w:p w14:paraId="0EDFE1CB" w14:textId="77777777" w:rsidR="004F58AB" w:rsidRDefault="004F58AB" w:rsidP="004F58AB">
      <w:pPr>
        <w:jc w:val="center"/>
      </w:pPr>
    </w:p>
    <w:p w14:paraId="615C7103" w14:textId="7777777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lastRenderedPageBreak/>
        <w:t>1. Introducción y Marco de Decisión</w:t>
      </w:r>
    </w:p>
    <w:p w14:paraId="326867B8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1.1 Pregunta Central de Investigación</w:t>
      </w:r>
    </w:p>
    <w:p w14:paraId="6A5FB956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¿Cómo se relaciona el presupuesto de inversión del MOP con el volumen y tipo de compras registradas en Mercado Público durante 2018-2019? ¿Qué patrones de riesgo emergen de este análisis para la gestión de adquisiciones públicas?</w:t>
      </w:r>
    </w:p>
    <w:p w14:paraId="7555FA9F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1.2 Audiencia y Unidad de Análisis</w:t>
      </w:r>
    </w:p>
    <w:p w14:paraId="7E7C928E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Audiencia: Directivos de adquisiciones del MOP y Contraloría General de la República.</w:t>
      </w:r>
    </w:p>
    <w:p w14:paraId="0C0F47E7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Unidad de análisis: Orden de Compra (OC) por modalidad (Licitación, Convenio Marco, Trato Directo), servicio, región y año.</w:t>
      </w:r>
    </w:p>
    <w:p w14:paraId="41461533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Período: bienio 2018-2019 (datos abiertos de MercadoPublico.cl y MOP Transparencia Activa).</w:t>
      </w:r>
    </w:p>
    <w:p w14:paraId="38A82CC8" w14:textId="7777777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t>2. Análisis de la Data y Perfilado Estadístico</w:t>
      </w:r>
    </w:p>
    <w:p w14:paraId="26CAB3AC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2.1 Fuentes de Datos</w:t>
      </w:r>
    </w:p>
    <w:p w14:paraId="495B9E1B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Se utilizaron dos fuentes de datos abiertos nacionales:</w:t>
      </w:r>
    </w:p>
    <w:p w14:paraId="5ACD5CBB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MercadoPublico.cl: CSVs de órdenes de compra por tipo (Licitación, Trato Directo, Convenio Marco, Compra Ágil), filtradas para MOP y MINVU/SERVIU, período 2018-2019. Archivos disponibles en 01_datos/originales/ChileCompra_MercadoPublico/.</w:t>
      </w:r>
    </w:p>
    <w:p w14:paraId="136B537E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MOP Transparencia Activa: Archivos Excel de ejecución presupuestaria por proyecto BIP, período 2018-2019. Archivos en 01_datos/originales/Presupuesto_MOP/.</w:t>
      </w:r>
    </w:p>
    <w:p w14:paraId="176ECF49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2.2 Perfilado del Dataset</w:t>
      </w:r>
    </w:p>
    <w:p w14:paraId="1112D414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El dataset consolidado (compras_presupuesto_items.csv) contiene 172.320 filas × 75 columnas post-limpieza, con las siguientes características:</w:t>
      </w:r>
    </w:p>
    <w:p w14:paraId="1A5EAB5B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63A71D24" wp14:editId="1D15E5F7">
            <wp:extent cx="5029200" cy="18675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7C5A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Tabla 2. KPIs del dataset consolidado</w:t>
      </w:r>
    </w:p>
    <w:p w14:paraId="0B0F6EAD" w14:textId="7777777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lastRenderedPageBreak/>
        <w:t>3. Limpieza y Transformación de Datos</w:t>
      </w:r>
    </w:p>
    <w:p w14:paraId="6A159E7D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3.1 Protocolo de Limpieza (Pipeline reproducible)</w:t>
      </w:r>
    </w:p>
    <w:p w14:paraId="5A6E11BA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Toda la limpieza es reproducible ejecutando en orden los scripts de 02_pipeline/:</w:t>
      </w:r>
    </w:p>
    <w:p w14:paraId="4BAAF120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1. 01_unificar_chilecompra.py  — unifica CSVs crudos</w:t>
      </w:r>
    </w:p>
    <w:p w14:paraId="77F12952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2. 02_unir_compras_presupuesto.py — cruza con presupuesto MOP</w:t>
      </w:r>
    </w:p>
    <w:p w14:paraId="79CB20AD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3. 03_generar_tablas_analisis.py — genera tablas analíticas</w:t>
      </w:r>
    </w:p>
    <w:p w14:paraId="00B190A7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3.2 Reglas de Calidad Aplicadas</w:t>
      </w:r>
    </w:p>
    <w:p w14:paraId="3706F743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6C24002E" wp14:editId="3C27E18B">
            <wp:extent cx="5303520" cy="15341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 6. Registro de reglas de limpiez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3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9FB5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Tabla 6. Registro de reglas de limpieza aplicadas (notebook 02)</w:t>
      </w:r>
    </w:p>
    <w:p w14:paraId="7A23A3F0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3.3 Variables Derivadas (Feature Engineering)</w:t>
      </w:r>
    </w:p>
    <w:p w14:paraId="44552F70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Se crearon 6 variables derivadas: MM (monto en millones), MontoOC_CLP (total por OC), CuartilMonto (segmentación Q1-Q4), Trimestre, EsInversion (subtítulo 31) y TieneBIP (trazabilidad).</w:t>
      </w:r>
    </w:p>
    <w:p w14:paraId="1309C244" w14:textId="7777777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lastRenderedPageBreak/>
        <w:t>4. Integración de Fuentes y Nuevas Tablas</w:t>
      </w:r>
    </w:p>
    <w:p w14:paraId="786E77BA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4.1 Tabla A — Región × Año × Modalidad</w:t>
      </w:r>
    </w:p>
    <w:p w14:paraId="40F41048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61045CA6" wp14:editId="7F632D42">
            <wp:extent cx="5303520" cy="43589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 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81C8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Tabla A. Distribución por Región, Año y Modalidad de Compra</w:t>
      </w:r>
    </w:p>
    <w:p w14:paraId="167CB784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lastRenderedPageBreak/>
        <w:t>4.2 Tabla B — Perfil de Proveedores</w:t>
      </w:r>
    </w:p>
    <w:p w14:paraId="4998FF1F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1ACC3ED4" wp14:editId="28931C9D">
            <wp:extent cx="5303520" cy="4642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 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1CA2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Tabla B. Perfil de los principales proveedores por monto total</w:t>
      </w:r>
    </w:p>
    <w:p w14:paraId="06D73A90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lastRenderedPageBreak/>
        <w:t>4.3 Tabla C — Estacionalidad Mensual</w:t>
      </w:r>
    </w:p>
    <w:p w14:paraId="09EE5346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2EBD8575" wp14:editId="37B5ABDA">
            <wp:extent cx="5303520" cy="50590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 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574F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Tabla C. Distribución mensual de compras por modalidad (2018-2019)</w:t>
      </w:r>
    </w:p>
    <w:p w14:paraId="100B31FE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4F8E9593" wp14:editId="2C0CF7E7">
            <wp:extent cx="5029200" cy="17688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03_fig1_estacional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8AE8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Fig. 4. Estacionalidad promedio mensual (MM$)</w:t>
      </w:r>
    </w:p>
    <w:p w14:paraId="6FA2B182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lastRenderedPageBreak/>
        <w:t>4.4 Tabla D — Proyectos BIP × Compras</w:t>
      </w:r>
    </w:p>
    <w:p w14:paraId="4F80B027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088F280C" wp14:editId="770000A4">
            <wp:extent cx="5303520" cy="48758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 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7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9F9D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Tabla D. Proyectos BIP con mayor monto de compras asociadas</w:t>
      </w:r>
    </w:p>
    <w:p w14:paraId="74E1FC89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lastRenderedPageBreak/>
        <w:t>4.5 Tabla E — Riesgo Trato Directo por Servicio</w:t>
      </w:r>
    </w:p>
    <w:p w14:paraId="1CA1FDF2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56257AD4" wp14:editId="76E5FC8A">
            <wp:extent cx="5303520" cy="67282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a 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72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EF3B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Tabla E. % de OC via Trato Directo por Servicio (indicador de riesgo)</w:t>
      </w:r>
    </w:p>
    <w:p w14:paraId="18C15465" w14:textId="77777777" w:rsidR="004F58AB" w:rsidRDefault="004F58AB" w:rsidP="004F58AB">
      <w:pPr>
        <w:jc w:val="center"/>
      </w:pPr>
      <w:r>
        <w:rPr>
          <w:noProof/>
        </w:rPr>
        <w:lastRenderedPageBreak/>
        <w:drawing>
          <wp:inline distT="0" distB="0" distL="0" distR="0" wp14:anchorId="70163F0E" wp14:editId="207DDEEB">
            <wp:extent cx="5029200" cy="24996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03_fig2_trato_direc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75BE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Fig. 5. Riesgo de Trato Directo por Servicio (umbral 20%)</w:t>
      </w:r>
    </w:p>
    <w:p w14:paraId="70E4C5B3" w14:textId="7777777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t>5. Modelación Econométrica (Python / statsmodels)</w:t>
      </w:r>
    </w:p>
    <w:p w14:paraId="13814F67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5.1 Justificación Técnica</w:t>
      </w:r>
    </w:p>
    <w:p w14:paraId="62CFE122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Se seleccionó la regresión log-log por su interpretabilidad directa como elasticidad y su robustez ante heterocedasticidad cuando se aplican errores estándar HC1 (corrección de White). El modelo especificado es:</w:t>
      </w:r>
    </w:p>
    <w:p w14:paraId="5BFCB077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   log₁₀(Compras_MM) = β₀ + β₁ · log₁₀(Gasto_MM) + ε</w:t>
      </w:r>
    </w:p>
    <w:p w14:paraId="080A9A47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donde β₁ es la elasticidad: un +10% en gasto se asocia con un (10·β₁)% de cambio en compras. Si β₁ &lt; 1, la relación es inelástica.</w:t>
      </w:r>
    </w:p>
    <w:p w14:paraId="19CD4F7E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5.2 Resultados de los 4 Modelos (EE Robustos HC1)</w:t>
      </w:r>
    </w:p>
    <w:p w14:paraId="746F4300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M1 (Proyecto BIP): β₁ = 0,527 | R² = 0,212 | p &lt; 0,001</w:t>
      </w:r>
    </w:p>
    <w:p w14:paraId="6B6A59F9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M2 (Región × Servicio total): β₁ = 0,459 | R² = 0,196 | p &lt; 0,001</w:t>
      </w:r>
    </w:p>
    <w:p w14:paraId="6A0A92C6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M3 (Región × Servicio Subt.31): β₁ = 0,662 | R² = 0,281 | p &lt; 0,001</w:t>
      </w:r>
    </w:p>
    <w:p w14:paraId="32ADB6BC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M4 (Región - N° OC): β₁ = 0,566 | R² = 0,176 | p &lt; 0,001</w:t>
      </w:r>
    </w:p>
    <w:p w14:paraId="4D4806FD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Todos los modelos muestran relación inelástica (β₁ &lt; 1): economías de escala transaccionales.</w:t>
      </w:r>
    </w:p>
    <w:p w14:paraId="5F40F6B1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lastRenderedPageBreak/>
        <w:t>5.3 Gráficos de Regresión y Diagnóstico</w:t>
      </w:r>
    </w:p>
    <w:p w14:paraId="5A44DBE3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17DDA754" wp14:editId="2D68FFB5">
            <wp:extent cx="5029200" cy="34316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royecto_gasto_vs_compr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6969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Fig. 1. M1: Proyecto BIP — gasto vs compras (log-log)</w:t>
      </w:r>
    </w:p>
    <w:p w14:paraId="0A3CA1BD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30269374" wp14:editId="52F394AB">
            <wp:extent cx="5029200" cy="34316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egion_servicio_gasto_vs_compr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72CD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Fig. 2. M2: Región × Servicio — gasto vs compras totales (log-log)</w:t>
      </w:r>
    </w:p>
    <w:p w14:paraId="78E20394" w14:textId="77777777" w:rsidR="004F58AB" w:rsidRDefault="004F58AB" w:rsidP="004F58AB">
      <w:pPr>
        <w:jc w:val="center"/>
      </w:pPr>
      <w:r>
        <w:rPr>
          <w:noProof/>
        </w:rPr>
        <w:lastRenderedPageBreak/>
        <w:drawing>
          <wp:inline distT="0" distB="0" distL="0" distR="0" wp14:anchorId="659B418E" wp14:editId="102ED1D6">
            <wp:extent cx="5029200" cy="34316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region_servicio_gasto_vs_compras_inver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2E31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Fig. 3. M3: Región × Servicio — gasto vs compras inversión Subt.31 (log-log)</w:t>
      </w:r>
    </w:p>
    <w:p w14:paraId="2EE8D728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5.4 Interpretación, No Causalidad y Limitaciones</w:t>
      </w:r>
    </w:p>
    <w:p w14:paraId="3592ECB4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Los modelos son CORRELACIONALES. Una asignación presupuestaria mayor no garantiza más compras en Mercado Público: parte del gasto MOP ocurre vía concesiones y contratos fuera del alcance de la plataforma. El R² (0,18–0,28) indica que el 72–82% de la variabilidad se explica por factores no capturados.</w:t>
      </w:r>
    </w:p>
    <w:p w14:paraId="608F80B1" w14:textId="7777777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t>6. Despliegue: Dashboard Interactivo</w:t>
      </w:r>
    </w:p>
    <w:p w14:paraId="7C48F531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6.1 Funcionalidades del Dashboard</w:t>
      </w:r>
    </w:p>
    <w:p w14:paraId="15F3526A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El dashboard fue desarrollado en Streamlit (04_dashboard/dashboard_app.py) y ofrece:</w:t>
      </w:r>
    </w:p>
    <w:p w14:paraId="32AD587E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Filtros dinámicos por Año, Región, Servicio y Modalidad de compra</w:t>
      </w:r>
    </w:p>
    <w:p w14:paraId="3F28A527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5 KPIs ejecutivos con variación anual contextualizada</w:t>
      </w:r>
    </w:p>
    <w:p w14:paraId="155498AB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Pestañas: Estacionalidad / Presupuesto vs Compras / Modalidad y Servicio</w:t>
      </w:r>
    </w:p>
    <w:p w14:paraId="6971A73E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• Lectura interpretativa bajo cada gráfico</w:t>
      </w:r>
    </w:p>
    <w:p w14:paraId="4829EE88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Para ejecutar: desde entrega final/   →   streamlit run 04_dashboard/dashboard_app.py</w:t>
      </w:r>
    </w:p>
    <w:p w14:paraId="0BB0BEA9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lastRenderedPageBreak/>
        <w:t>6.2 Captura del Dashboard en Funcionamiento</w:t>
      </w:r>
    </w:p>
    <w:p w14:paraId="168F1869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6F34ABC6" wp14:editId="52AEAB23">
            <wp:extent cx="5486400" cy="2984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44C5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Fig. 11. Dashboard interactivo en localhost:8501 — vista de Estacionalidad</w:t>
      </w:r>
    </w:p>
    <w:p w14:paraId="7462FE1F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6.3 Visualizaciones Analíticas Complementarias</w:t>
      </w:r>
    </w:p>
    <w:p w14:paraId="14BBF32F" w14:textId="77777777" w:rsidR="004F58AB" w:rsidRDefault="004F58AB" w:rsidP="004F58AB">
      <w:pPr>
        <w:jc w:val="center"/>
      </w:pPr>
      <w:r>
        <w:rPr>
          <w:noProof/>
        </w:rPr>
        <w:drawing>
          <wp:inline distT="0" distB="0" distL="0" distR="0" wp14:anchorId="11E84040" wp14:editId="15F58542">
            <wp:extent cx="5303520" cy="3180768"/>
            <wp:effectExtent l="0" t="0" r="0" b="0"/>
            <wp:docPr id="930709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05_fig2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18BC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Fig. 8. Heatmap de monto por Región × Mes (MM CLP)</w:t>
      </w:r>
    </w:p>
    <w:p w14:paraId="395AA2CA" w14:textId="77777777" w:rsidR="004F58AB" w:rsidRDefault="004F58AB" w:rsidP="004F58AB">
      <w:pPr>
        <w:jc w:val="center"/>
      </w:pPr>
      <w:r>
        <w:rPr>
          <w:noProof/>
        </w:rPr>
        <w:lastRenderedPageBreak/>
        <w:drawing>
          <wp:inline distT="0" distB="0" distL="0" distR="0" wp14:anchorId="0705FCB0" wp14:editId="0BBB98E6">
            <wp:extent cx="5303520" cy="25905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05_fig3_servic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E597" w14:textId="77777777" w:rsidR="004F58AB" w:rsidRDefault="004F58AB" w:rsidP="004F58AB">
      <w:pPr>
        <w:jc w:val="center"/>
      </w:pPr>
      <w:r>
        <w:rPr>
          <w:rFonts w:ascii="Tahoma" w:hAnsi="Tahoma"/>
          <w:color w:val="0F4761"/>
          <w:sz w:val="18"/>
        </w:rPr>
        <w:t>Fig. 9. Compras por Servicio MOP: 2018 vs 2019 (MM CLP)</w:t>
      </w:r>
    </w:p>
    <w:p w14:paraId="2D2BB344" w14:textId="7777777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t>7. Recomendaciones Estratégicas</w:t>
      </w:r>
    </w:p>
    <w:p w14:paraId="0088F047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1. Servicios con &gt;20% de Trato Directo → Auditar adquisiciones y revisar justificaciones de contratación directa (véase Tabla E).</w:t>
      </w:r>
    </w:p>
    <w:p w14:paraId="20768C97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2. Concentración Q4 (36,6% del gasto) → Implementar planificación anual de compras con metas trimestrales para distribuir el gasto de manera más uniforme.</w:t>
      </w:r>
    </w:p>
    <w:p w14:paraId="7EFC4A8E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3. Solo 17,2% del gasto con trazabilidad digital completa → Ampliar el uso del código BIP en todas las OC vinculadas a proyectos de inversión.</w:t>
      </w:r>
    </w:p>
    <w:p w14:paraId="2FC51CCA" w14:textId="77777777" w:rsidR="004F58AB" w:rsidRDefault="004F58AB" w:rsidP="004F58AB">
      <w:pPr>
        <w:spacing w:after="1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4. Proveedores concentrados (Tabla B) → Revisar política de diversificación; algunos servicios dependen de 1-2 proveedores para &gt;80% de su gasto.</w:t>
      </w:r>
    </w:p>
    <w:p w14:paraId="493CBD12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173EB8E2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3AF4E113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38CA10C3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6DFC2E96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12F812A0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62A4D010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055FBB91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7C74FA99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638EB945" w14:textId="77777777" w:rsidR="004F58AB" w:rsidRDefault="004F58AB" w:rsidP="004F58AB">
      <w:pPr>
        <w:spacing w:after="120"/>
      </w:pPr>
    </w:p>
    <w:p w14:paraId="37EE4288" w14:textId="7777777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lastRenderedPageBreak/>
        <w:t>8. Conclusiones</w:t>
      </w:r>
    </w:p>
    <w:p w14:paraId="763A919D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1F350A89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4A7B2A61" w14:textId="3FF11811" w:rsidR="004F58AB" w:rsidRDefault="004F58AB" w:rsidP="004F58AB">
      <w:pPr>
        <w:spacing w:after="120"/>
      </w:pPr>
      <w:r>
        <w:rPr>
          <w:rFonts w:ascii="Tahoma" w:hAnsi="Tahoma"/>
          <w:sz w:val="22"/>
        </w:rPr>
        <w:t>El análisis confirma la hipótesis de una relación positiva e inelástica entre presupuesto de inversión MOP y compras digitalizadas en Mercado Público. La elasticidad promedio (β₁ ≈ 0,55) sugiere que cada 10% de incremento presupuestario se asocia con solo un 5,5% de aumento en compras trazables, lo que indica un amplio margen de mejora en la digitalización de adquisiciones.</w:t>
      </w:r>
    </w:p>
    <w:p w14:paraId="7215B64F" w14:textId="77777777" w:rsidR="004F58AB" w:rsidRDefault="004F58AB" w:rsidP="004F58AB">
      <w:pPr>
        <w:spacing w:after="120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Las alertas identificadas (Trato Directo elevado, concentración Q4, baja trazabilidad BIP) constituyen oportunidades concretas de mejora de gestión accionables por los directivos del MOP y la Contraloría.</w:t>
      </w:r>
    </w:p>
    <w:p w14:paraId="70907C5A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7247FBE7" w14:textId="77777777" w:rsidR="004F58AB" w:rsidRDefault="004F58AB" w:rsidP="004F58AB">
      <w:pPr>
        <w:spacing w:after="120"/>
        <w:rPr>
          <w:rFonts w:ascii="Tahoma" w:hAnsi="Tahoma"/>
          <w:sz w:val="22"/>
        </w:rPr>
      </w:pPr>
    </w:p>
    <w:p w14:paraId="3088314E" w14:textId="77777777" w:rsidR="004F58AB" w:rsidRDefault="004F58AB" w:rsidP="004F58AB">
      <w:pPr>
        <w:spacing w:after="120"/>
      </w:pPr>
    </w:p>
    <w:p w14:paraId="27670E7B" w14:textId="77777777" w:rsidR="004F58AB" w:rsidRDefault="004F58AB" w:rsidP="004F58AB">
      <w:pPr>
        <w:spacing w:after="120"/>
      </w:pPr>
    </w:p>
    <w:p w14:paraId="0CD0A182" w14:textId="77777777" w:rsidR="004F58AB" w:rsidRDefault="004F58AB" w:rsidP="004F58AB">
      <w:pPr>
        <w:spacing w:after="120"/>
      </w:pPr>
    </w:p>
    <w:p w14:paraId="732400E1" w14:textId="77777777" w:rsidR="004F58AB" w:rsidRDefault="004F58AB" w:rsidP="004F58AB">
      <w:pPr>
        <w:spacing w:after="120"/>
      </w:pPr>
    </w:p>
    <w:p w14:paraId="61EB7483" w14:textId="77777777" w:rsidR="004F58AB" w:rsidRDefault="004F58AB" w:rsidP="004F58AB">
      <w:pPr>
        <w:spacing w:after="120"/>
      </w:pPr>
    </w:p>
    <w:p w14:paraId="0B57A902" w14:textId="77777777" w:rsidR="004F58AB" w:rsidRDefault="004F58AB" w:rsidP="004F58AB">
      <w:pPr>
        <w:spacing w:after="120"/>
      </w:pPr>
    </w:p>
    <w:p w14:paraId="1163C4B7" w14:textId="77777777" w:rsidR="004F58AB" w:rsidRDefault="004F58AB" w:rsidP="004F58AB">
      <w:pPr>
        <w:spacing w:after="120"/>
      </w:pPr>
    </w:p>
    <w:p w14:paraId="79A6C151" w14:textId="77777777" w:rsidR="004F58AB" w:rsidRDefault="004F58AB" w:rsidP="004F58AB">
      <w:pPr>
        <w:spacing w:after="120"/>
      </w:pPr>
    </w:p>
    <w:p w14:paraId="4E420DE4" w14:textId="77777777" w:rsidR="004F58AB" w:rsidRDefault="004F58AB" w:rsidP="004F58AB">
      <w:pPr>
        <w:spacing w:after="120"/>
      </w:pPr>
    </w:p>
    <w:p w14:paraId="60D49D6F" w14:textId="77777777" w:rsidR="004F58AB" w:rsidRDefault="004F58AB" w:rsidP="004F58AB">
      <w:pPr>
        <w:spacing w:after="120"/>
      </w:pPr>
    </w:p>
    <w:p w14:paraId="7A81A5F7" w14:textId="77777777" w:rsidR="004F58AB" w:rsidRDefault="004F58AB" w:rsidP="004F58AB">
      <w:pPr>
        <w:spacing w:after="120"/>
      </w:pPr>
    </w:p>
    <w:p w14:paraId="693B7439" w14:textId="77777777" w:rsidR="004F58AB" w:rsidRDefault="004F58AB" w:rsidP="004F58AB">
      <w:pPr>
        <w:spacing w:after="120"/>
      </w:pPr>
    </w:p>
    <w:p w14:paraId="32B1AAC3" w14:textId="77777777" w:rsidR="004F58AB" w:rsidRDefault="004F58AB" w:rsidP="004F58AB">
      <w:pPr>
        <w:spacing w:after="120"/>
      </w:pPr>
    </w:p>
    <w:p w14:paraId="020877D5" w14:textId="77777777" w:rsidR="004F58AB" w:rsidRDefault="004F58AB" w:rsidP="004F58AB">
      <w:pPr>
        <w:spacing w:after="120"/>
      </w:pPr>
    </w:p>
    <w:p w14:paraId="3B3D9966" w14:textId="77777777" w:rsidR="004F58AB" w:rsidRDefault="004F58AB" w:rsidP="004F58AB">
      <w:pPr>
        <w:spacing w:after="120"/>
      </w:pPr>
    </w:p>
    <w:p w14:paraId="43363B5A" w14:textId="77777777" w:rsidR="004F58AB" w:rsidRDefault="004F58AB" w:rsidP="004F58AB">
      <w:pPr>
        <w:spacing w:after="120"/>
      </w:pPr>
    </w:p>
    <w:p w14:paraId="2D9D4CD8" w14:textId="77777777" w:rsidR="004F58AB" w:rsidRDefault="004F58AB" w:rsidP="004F58AB">
      <w:pPr>
        <w:spacing w:after="120"/>
      </w:pPr>
    </w:p>
    <w:p w14:paraId="53EEC957" w14:textId="77777777" w:rsidR="004F58AB" w:rsidRDefault="004F58AB" w:rsidP="004F58AB">
      <w:pPr>
        <w:spacing w:after="120"/>
      </w:pPr>
    </w:p>
    <w:p w14:paraId="7362EBB8" w14:textId="77777777" w:rsidR="004F58AB" w:rsidRDefault="004F58AB" w:rsidP="004F58AB">
      <w:pPr>
        <w:spacing w:after="120"/>
      </w:pPr>
    </w:p>
    <w:p w14:paraId="74E6FB2C" w14:textId="77777777" w:rsidR="004F58AB" w:rsidRDefault="004F58AB" w:rsidP="004F58AB">
      <w:pPr>
        <w:spacing w:after="120"/>
      </w:pPr>
    </w:p>
    <w:p w14:paraId="6C221426" w14:textId="77777777" w:rsidR="004F58AB" w:rsidRDefault="004F58AB" w:rsidP="004F58AB">
      <w:pPr>
        <w:spacing w:after="120"/>
      </w:pPr>
    </w:p>
    <w:p w14:paraId="60EAB006" w14:textId="77777777" w:rsidR="004F58AB" w:rsidRDefault="004F58AB" w:rsidP="004F58AB">
      <w:pPr>
        <w:pStyle w:val="Ttulo1"/>
        <w:rPr>
          <w:rFonts w:ascii="Tahoma" w:hAnsi="Tahoma"/>
          <w:b/>
          <w:color w:val="EE0000"/>
          <w:sz w:val="28"/>
        </w:rPr>
      </w:pPr>
    </w:p>
    <w:p w14:paraId="45FFE431" w14:textId="05747CF7" w:rsidR="004F58AB" w:rsidRDefault="004F58AB" w:rsidP="004F58AB">
      <w:pPr>
        <w:pStyle w:val="Ttulo1"/>
      </w:pPr>
      <w:r>
        <w:rPr>
          <w:rFonts w:ascii="Tahoma" w:hAnsi="Tahoma"/>
          <w:b/>
          <w:color w:val="EE0000"/>
          <w:sz w:val="28"/>
        </w:rPr>
        <w:t>9. Anexos</w:t>
      </w:r>
    </w:p>
    <w:p w14:paraId="04E2106F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Anexo A. Estructura del Repositorio de Entrega</w:t>
      </w:r>
    </w:p>
    <w:p w14:paraId="6F9D23A0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entrega final/</w:t>
      </w:r>
    </w:p>
    <w:p w14:paraId="7A6C9EE4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01_datos/originales/   — CSVs y Excel RAW de ChileCompra y MOP</w:t>
      </w:r>
    </w:p>
    <w:p w14:paraId="34189514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01_datos/procesados/   — Datos unificados y limpios</w:t>
      </w:r>
    </w:p>
    <w:p w14:paraId="2E1BEAAC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02_pipeline/           — Scripts Python de procesamiento (pasos 1-3)</w:t>
      </w:r>
    </w:p>
    <w:p w14:paraId="00068A20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03_notebooks/          — Notebooks de análisis (01 al 05)</w:t>
      </w:r>
    </w:p>
    <w:p w14:paraId="15EDA599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04_dashboard/          — Aplicación Streamlit interactiva</w:t>
      </w:r>
    </w:p>
    <w:p w14:paraId="58F6AC5C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05_figuras/            — Gráficos y capturas generados</w:t>
      </w:r>
    </w:p>
    <w:p w14:paraId="0A3F1B63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 xml:space="preserve">  06_doc/                — Informe PDF/DOCX y Presentación PPTX</w:t>
      </w:r>
    </w:p>
    <w:p w14:paraId="320A5DB0" w14:textId="77777777" w:rsidR="004F58AB" w:rsidRDefault="004F58AB" w:rsidP="004F58AB">
      <w:pPr>
        <w:pStyle w:val="Ttulo2"/>
      </w:pPr>
      <w:r>
        <w:rPr>
          <w:rFonts w:ascii="Tahoma" w:hAnsi="Tahoma"/>
          <w:b/>
          <w:color w:val="0F4761"/>
          <w:sz w:val="24"/>
        </w:rPr>
        <w:t>Anexo B. Notebook de Modelación Econométrica (Python / statsmodels)</w:t>
      </w:r>
    </w:p>
    <w:p w14:paraId="52B8EFAB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Ver: 03_notebooks/04_modelado_regresion.ipynb</w:t>
      </w:r>
    </w:p>
    <w:p w14:paraId="1BCF5EF2" w14:textId="77777777" w:rsidR="004F58AB" w:rsidRDefault="004F58AB" w:rsidP="004F58AB">
      <w:pPr>
        <w:spacing w:after="120"/>
      </w:pPr>
      <w:r>
        <w:rPr>
          <w:rFonts w:ascii="Tahoma" w:hAnsi="Tahoma"/>
          <w:sz w:val="22"/>
        </w:rPr>
        <w:t>Librerías: statsmodels, scipy, pandas, numpy, matplotlib</w:t>
      </w:r>
    </w:p>
    <w:p w14:paraId="47FED339" w14:textId="77777777" w:rsidR="003158F4" w:rsidRDefault="003158F4" w:rsidP="000A3562"/>
    <w:p w14:paraId="33BF555C" w14:textId="77777777" w:rsidR="003158F4" w:rsidRDefault="003158F4" w:rsidP="000A3562"/>
    <w:p w14:paraId="192354E2" w14:textId="77777777" w:rsidR="009D1F1F" w:rsidRDefault="009D1F1F" w:rsidP="000A3562"/>
    <w:p w14:paraId="63BED024" w14:textId="77777777" w:rsidR="009D1F1F" w:rsidRDefault="009D1F1F" w:rsidP="000A3562"/>
    <w:p w14:paraId="0900C10B" w14:textId="77777777" w:rsidR="009D1F1F" w:rsidRDefault="009D1F1F" w:rsidP="000A3562"/>
    <w:p w14:paraId="30018D3C" w14:textId="77777777" w:rsidR="009D1F1F" w:rsidRDefault="009D1F1F" w:rsidP="000A3562"/>
    <w:p w14:paraId="357DBADC" w14:textId="77777777" w:rsidR="009D1F1F" w:rsidRDefault="009D1F1F" w:rsidP="000A3562"/>
    <w:p w14:paraId="5D0F61D7" w14:textId="77777777" w:rsidR="009D1F1F" w:rsidRDefault="009D1F1F" w:rsidP="000A3562"/>
    <w:p w14:paraId="7AA033B7" w14:textId="77777777" w:rsidR="009D1F1F" w:rsidRDefault="009D1F1F" w:rsidP="000A3562"/>
    <w:p w14:paraId="10E62E00" w14:textId="77777777" w:rsidR="009D1F1F" w:rsidRDefault="009D1F1F" w:rsidP="000A3562"/>
    <w:p w14:paraId="58E9F463" w14:textId="77777777" w:rsidR="009D1F1F" w:rsidRDefault="009D1F1F" w:rsidP="000A3562"/>
    <w:p w14:paraId="26114B9D" w14:textId="77777777" w:rsidR="009D1F1F" w:rsidRDefault="009D1F1F" w:rsidP="000A3562"/>
    <w:p w14:paraId="7573A146" w14:textId="77777777" w:rsidR="009D1F1F" w:rsidRDefault="009D1F1F" w:rsidP="000A3562"/>
    <w:p w14:paraId="24F5E993" w14:textId="77777777" w:rsidR="009D1F1F" w:rsidRDefault="009D1F1F" w:rsidP="000A3562"/>
    <w:p w14:paraId="0A32ED60" w14:textId="77777777" w:rsidR="009D1F1F" w:rsidRDefault="009D1F1F" w:rsidP="000A3562"/>
    <w:p w14:paraId="685B13A8" w14:textId="77777777" w:rsidR="009D1F1F" w:rsidRDefault="009D1F1F" w:rsidP="000A3562"/>
    <w:p w14:paraId="79E0ADD9" w14:textId="77777777" w:rsidR="009D1F1F" w:rsidRDefault="009D1F1F" w:rsidP="000A3562"/>
    <w:p w14:paraId="5FE6977B" w14:textId="77777777" w:rsidR="009D1F1F" w:rsidRDefault="009D1F1F" w:rsidP="000A3562">
      <w:pPr>
        <w:rPr>
          <w:rFonts w:ascii="Tahoma" w:hAnsi="Tahoma" w:cs="Tahoma"/>
          <w:sz w:val="22"/>
          <w:szCs w:val="22"/>
        </w:rPr>
      </w:pPr>
    </w:p>
    <w:p w14:paraId="76976BA5" w14:textId="77777777" w:rsidR="000D17BF" w:rsidRDefault="000D17BF" w:rsidP="000A3562">
      <w:pPr>
        <w:rPr>
          <w:rFonts w:ascii="Tahoma" w:hAnsi="Tahoma" w:cs="Tahoma"/>
          <w:sz w:val="22"/>
          <w:szCs w:val="22"/>
        </w:rPr>
      </w:pPr>
    </w:p>
    <w:p w14:paraId="4DDA6B76" w14:textId="77777777" w:rsidR="000D17BF" w:rsidRDefault="000D17BF" w:rsidP="000A3562">
      <w:pPr>
        <w:rPr>
          <w:rFonts w:ascii="Tahoma" w:hAnsi="Tahoma" w:cs="Tahoma"/>
          <w:sz w:val="22"/>
          <w:szCs w:val="22"/>
        </w:rPr>
      </w:pPr>
    </w:p>
    <w:p w14:paraId="3747D5C2" w14:textId="77777777" w:rsidR="000D17BF" w:rsidRDefault="000D17BF" w:rsidP="000A3562">
      <w:pPr>
        <w:rPr>
          <w:rFonts w:ascii="Tahoma" w:hAnsi="Tahoma" w:cs="Tahoma"/>
          <w:sz w:val="22"/>
          <w:szCs w:val="22"/>
        </w:rPr>
      </w:pPr>
    </w:p>
    <w:p w14:paraId="0E47A2AD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2C0424F4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498C5E69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3520864A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3242C447" w14:textId="77777777" w:rsidR="00E9514E" w:rsidRDefault="00E9514E" w:rsidP="000D17BF">
      <w:pPr>
        <w:ind w:firstLine="2410"/>
        <w:rPr>
          <w:rFonts w:ascii="Tahoma" w:hAnsi="Tahoma" w:cs="Tahoma"/>
          <w:sz w:val="22"/>
          <w:szCs w:val="22"/>
        </w:rPr>
      </w:pPr>
    </w:p>
    <w:p w14:paraId="0C4256C4" w14:textId="4670B587" w:rsidR="000D17BF" w:rsidRPr="00696697" w:rsidRDefault="000D17BF" w:rsidP="000D17BF">
      <w:pPr>
        <w:ind w:firstLine="241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lastRenderedPageBreak/>
        <w:drawing>
          <wp:inline distT="0" distB="0" distL="0" distR="0" wp14:anchorId="6E16A71A" wp14:editId="32331AE2">
            <wp:extent cx="3581400" cy="5168900"/>
            <wp:effectExtent l="0" t="0" r="0" b="0"/>
            <wp:docPr id="1584204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04386" name="Imagen 15842043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7BF" w:rsidRPr="00696697" w:rsidSect="003158F4">
      <w:headerReference w:type="default" r:id="rId23"/>
      <w:footerReference w:type="default" r:id="rId24"/>
      <w:pgSz w:w="12240" w:h="15840"/>
      <w:pgMar w:top="0" w:right="851" w:bottom="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A6935" w14:textId="77777777" w:rsidR="00991ED6" w:rsidRDefault="00991ED6" w:rsidP="000A3562">
      <w:pPr>
        <w:spacing w:after="0" w:line="240" w:lineRule="auto"/>
      </w:pPr>
      <w:r>
        <w:separator/>
      </w:r>
    </w:p>
  </w:endnote>
  <w:endnote w:type="continuationSeparator" w:id="0">
    <w:p w14:paraId="769B3702" w14:textId="77777777" w:rsidR="00991ED6" w:rsidRDefault="00991ED6" w:rsidP="000A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1550" w14:textId="0B587013" w:rsidR="003158F4" w:rsidRDefault="00696697" w:rsidP="00A937F6">
    <w:pPr>
      <w:pStyle w:val="Piedepgina"/>
      <w:ind w:right="48" w:hanging="851"/>
    </w:pPr>
    <w:r>
      <w:rPr>
        <w:noProof/>
      </w:rPr>
      <w:drawing>
        <wp:inline distT="0" distB="0" distL="0" distR="0" wp14:anchorId="5AD03BDA" wp14:editId="22C646D5">
          <wp:extent cx="7806447" cy="76234"/>
          <wp:effectExtent l="0" t="0" r="0" b="0"/>
          <wp:docPr id="8395477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547710" name="Imagen 8395477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41043" cy="238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9C7D7" w14:textId="77777777" w:rsidR="00991ED6" w:rsidRDefault="00991ED6" w:rsidP="000A3562">
      <w:pPr>
        <w:spacing w:after="0" w:line="240" w:lineRule="auto"/>
      </w:pPr>
      <w:r>
        <w:separator/>
      </w:r>
    </w:p>
  </w:footnote>
  <w:footnote w:type="continuationSeparator" w:id="0">
    <w:p w14:paraId="0E670C65" w14:textId="77777777" w:rsidR="00991ED6" w:rsidRDefault="00991ED6" w:rsidP="000A3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7FE0" w14:textId="7BB3C28F" w:rsidR="000A3562" w:rsidRDefault="00E9514E" w:rsidP="00A937F6">
    <w:pPr>
      <w:pStyle w:val="Encabezado"/>
      <w:ind w:hanging="851"/>
    </w:pPr>
    <w:r>
      <w:rPr>
        <w:noProof/>
        <w:lang w:eastAsia="es-CL"/>
      </w:rPr>
      <w:drawing>
        <wp:inline distT="0" distB="0" distL="0" distR="0" wp14:anchorId="3A3BD532" wp14:editId="4311A3C7">
          <wp:extent cx="7780114" cy="1455420"/>
          <wp:effectExtent l="0" t="0" r="0" b="0"/>
          <wp:docPr id="15" name="Imagen 15" descr="Imagen que contiene interior, tabla, ventana, escritori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 descr="Imagen que contiene interior, tabla, ventana, escritori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03934" cy="14598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62"/>
    <w:rsid w:val="000A3562"/>
    <w:rsid w:val="000D17BF"/>
    <w:rsid w:val="00194A36"/>
    <w:rsid w:val="001B6E41"/>
    <w:rsid w:val="001D6261"/>
    <w:rsid w:val="002A7866"/>
    <w:rsid w:val="003158F4"/>
    <w:rsid w:val="003D3953"/>
    <w:rsid w:val="00420373"/>
    <w:rsid w:val="004A6F04"/>
    <w:rsid w:val="004F58AB"/>
    <w:rsid w:val="005275D5"/>
    <w:rsid w:val="00535E0F"/>
    <w:rsid w:val="005C119B"/>
    <w:rsid w:val="00696697"/>
    <w:rsid w:val="007F70F8"/>
    <w:rsid w:val="00835578"/>
    <w:rsid w:val="00897793"/>
    <w:rsid w:val="008D2F20"/>
    <w:rsid w:val="008D310C"/>
    <w:rsid w:val="00991ED6"/>
    <w:rsid w:val="009D1F1F"/>
    <w:rsid w:val="009F1AFE"/>
    <w:rsid w:val="00A937F6"/>
    <w:rsid w:val="00B30EBC"/>
    <w:rsid w:val="00B47C0F"/>
    <w:rsid w:val="00C71AE9"/>
    <w:rsid w:val="00D56E62"/>
    <w:rsid w:val="00DA0C74"/>
    <w:rsid w:val="00DD0B8A"/>
    <w:rsid w:val="00DE6D56"/>
    <w:rsid w:val="00E9514E"/>
    <w:rsid w:val="00EC25D3"/>
    <w:rsid w:val="00ED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373ED1"/>
  <w15:chartTrackingRefBased/>
  <w15:docId w15:val="{05B60B33-845B-0D40-8DDD-4A64A5AC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5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5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5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5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5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5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5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5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5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5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5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562"/>
  </w:style>
  <w:style w:type="paragraph" w:styleId="Piedepgina">
    <w:name w:val="footer"/>
    <w:basedOn w:val="Normal"/>
    <w:link w:val="PiedepginaCar"/>
    <w:uiPriority w:val="99"/>
    <w:unhideWhenUsed/>
    <w:rsid w:val="000A35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562"/>
  </w:style>
  <w:style w:type="character" w:styleId="Hipervnculo">
    <w:name w:val="Hyperlink"/>
    <w:basedOn w:val="Fuentedeprrafopredeter"/>
    <w:uiPriority w:val="99"/>
    <w:unhideWhenUsed/>
    <w:rsid w:val="004F58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5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inacapmailcl-my.sharepoint.com/:f:/g/personal/jose_rivera71_inacapmail_cl/IgD1d_i9CGIdQI_VzU9Qj5FYAYCk8Ty6-sidzRe3SdvNCL8?e=QVSsUv" TargetMode="Externa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1246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Ignacio Zárate Madariaga</dc:creator>
  <cp:keywords/>
  <dc:description/>
  <cp:lastModifiedBy>JOSE ELIECER RIVERA PEREZ</cp:lastModifiedBy>
  <cp:revision>14</cp:revision>
  <cp:lastPrinted>2026-10-07T23:02:00Z</cp:lastPrinted>
  <dcterms:created xsi:type="dcterms:W3CDTF">2026-05-26T16:16:00Z</dcterms:created>
  <dcterms:modified xsi:type="dcterms:W3CDTF">2026-10-07T23:15:00Z</dcterms:modified>
</cp:coreProperties>
</file>