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Acme Card Services</w:t>
      </w:r>
    </w:p>
    <w:p>
      <w:pPr>
        <w:pStyle w:val="Heading1"/>
      </w:pPr>
      <w:r>
        <w:t>1 Purpose</w:t>
      </w:r>
    </w:p>
    <w:p>
      <w:r>
        <w:t>This specification governs order ORD-10019 for Acme Card Services.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all attributes from product code ABC, DEF for every accepted record.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