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Northwind Lending</w:t>
      </w:r>
    </w:p>
    <w:p>
      <w:pPr>
        <w:pStyle w:val="Heading1"/>
      </w:pPr>
      <w:r>
        <w:t>1 Purpose</w:t>
      </w:r>
    </w:p>
    <w:p>
      <w:r>
        <w:t>This specification governs order ORD-10021 for Northwind Lending.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