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Acme Card Services</w:t>
      </w:r>
    </w:p>
    <w:p>
      <w:pPr>
        <w:pStyle w:val="Heading1"/>
      </w:pPr>
      <w:r>
        <w:t>1 Purpose</w:t>
      </w:r>
    </w:p>
    <w:p>
      <w:r>
        <w:t>This specification governs order ORD-10020 for Acme Card Services.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p>
      <w:pPr>
        <w:pStyle w:val="Heading1"/>
      </w:pPr>
      <w:r>
        <w:t>9 Additional requirements</w:t>
      </w:r>
    </w:p>
    <w:p>
      <w:r>
        <w:t>Consumers who have opted out of firm offers of credit must be excluded from every delivery under this order.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