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Pinecrest Auto Finance</w:t>
      </w:r>
    </w:p>
    <w:p>
      <w:pPr>
        <w:pStyle w:val="Heading1"/>
      </w:pPr>
      <w:r>
        <w:t>1 Purpose</w:t>
      </w:r>
    </w:p>
    <w:p>
      <w:r>
        <w:t>This specification governs order ORD-10009 for Pinecrest Auto Finance.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the following 10 attributes for every accepted record.</w:t>
      </w:r>
    </w:p>
    <w:p>
      <w:pPr>
        <w:pStyle w:val="ListNumber"/>
      </w:pPr>
      <w:r>
        <w:t>1. SCORE_V3</w:t>
      </w:r>
    </w:p>
    <w:p>
      <w:pPr>
        <w:pStyle w:val="ListNumber"/>
      </w:pPr>
      <w:r>
        <w:t>2. AGE</w:t>
      </w:r>
    </w:p>
    <w:p>
      <w:pPr>
        <w:pStyle w:val="ListNumber"/>
      </w:pPr>
      <w:r>
        <w:t>3. ST</w:t>
      </w:r>
    </w:p>
    <w:p>
      <w:pPr>
        <w:pStyle w:val="ListNumber"/>
      </w:pPr>
      <w:r>
        <w:t>4. REV_UTIL</w:t>
      </w:r>
    </w:p>
    <w:p>
      <w:pPr>
        <w:pStyle w:val="ListNumber"/>
      </w:pPr>
      <w:r>
        <w:t>5. OPEN_TRADES</w:t>
      </w:r>
    </w:p>
    <w:p>
      <w:pPr>
        <w:pStyle w:val="ListNumber"/>
      </w:pPr>
      <w:r>
        <w:t>6. INQ_6M</w:t>
      </w:r>
    </w:p>
    <w:p>
      <w:pPr>
        <w:pStyle w:val="ListNumber"/>
      </w:pPr>
      <w:r>
        <w:t>7. TOT_BAL</w:t>
      </w:r>
    </w:p>
    <w:p>
      <w:pPr>
        <w:pStyle w:val="ListNumber"/>
      </w:pPr>
      <w:r>
        <w:t>8. DELQ_30</w:t>
      </w:r>
    </w:p>
    <w:p>
      <w:pPr>
        <w:pStyle w:val="ListNumber"/>
      </w:pPr>
      <w:r>
        <w:t>9. MORT_BAL</w:t>
      </w:r>
    </w:p>
    <w:p>
      <w:pPr>
        <w:pStyle w:val="ListNumber"/>
      </w:pPr>
      <w:r>
        <w:t>10. BK_24M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