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Harbor Credit Union</w:t>
      </w:r>
    </w:p>
    <w:p>
      <w:pPr>
        <w:pStyle w:val="Heading1"/>
      </w:pPr>
      <w:r>
        <w:t>1 Purpose</w:t>
      </w:r>
    </w:p>
    <w:p>
      <w:r>
        <w:t>This specification governs order ORD-10012 for Harbor Credit Union.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